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0" w:before="0"/>
      </w:pPr>
    </w:p>
    <w:p>
      <w:pPr>
        <w:jc w:val="center"/>
      </w:pPr>
      <w:r>
        <w:rPr>
          <w:rFonts w:ascii="Arial" w:cs="Arial" w:eastAsia="Arial" w:hAnsi="Arial"/>
          <w:b/>
          <w:bCs/>
          <w:caps/>
          <w:color w:val="1B3A6B"/>
          <w:sz w:val="28"/>
          <w:szCs w:val="28"/>
        </w:rPr>
        <w:t xml:space="preserve">HIGH COURT OF MIR</w:t>
      </w:r>
    </w:p>
    <w:p>
      <w:pPr>
        <w:jc w:val="center"/>
      </w:pPr>
      <w:r>
        <w:rPr>
          <w:rFonts w:ascii="Arial" w:cs="Arial" w:eastAsia="Arial" w:hAnsi="Arial"/>
          <w:caps/>
          <w:color w:val="666666"/>
          <w:sz w:val="22"/>
          <w:szCs w:val="22"/>
        </w:rPr>
        <w:t xml:space="preserve">ADVISORY CHAMBER</w:t>
      </w:r>
    </w:p>
    <w:p>
      <w:pPr>
        <w:spacing w:after="80" w:before="0"/>
      </w:pPr>
    </w:p>
    <w:p>
      <w:pPr>
        <w:pBdr>
          <w:bottom w:val="single" w:color="C5922A" w:sz="6" w:space="1"/>
        </w:pBdr>
        <w:spacing w:after="0" w:before="0"/>
      </w:pPr>
    </w:p>
    <w:p>
      <w:pPr>
        <w:spacing w:after="80" w:before="0"/>
      </w:pPr>
    </w:p>
    <w:p>
      <w:pPr>
        <w:jc w:val="center"/>
      </w:pPr>
      <w:r>
        <w:rPr>
          <w:rFonts w:ascii="Arial" w:cs="Arial" w:eastAsia="Arial" w:hAnsi="Arial"/>
          <w:caps/>
          <w:color w:val="666666"/>
          <w:sz w:val="20"/>
          <w:szCs w:val="20"/>
        </w:rPr>
        <w:t xml:space="preserve">ADVISORY OPINION</w:t>
      </w:r>
    </w:p>
    <w:p>
      <w:pPr>
        <w:spacing w:after="60" w:before="0"/>
      </w:pPr>
    </w:p>
    <w:p>
      <w:pPr>
        <w:jc w:val="center"/>
      </w:pPr>
      <w:r>
        <w:rPr>
          <w:rFonts w:ascii="Arial" w:cs="Arial" w:eastAsia="Arial" w:hAnsi="Arial"/>
          <w:b/>
          <w:bCs/>
          <w:caps/>
          <w:color w:val="1B3A6B"/>
          <w:sz w:val="32"/>
          <w:szCs w:val="32"/>
        </w:rPr>
        <w:t xml:space="preserve">MIR GUIDELINES ON THE LEGALITY OF WEAPONS</w:t>
      </w:r>
    </w:p>
    <w:p>
      <w:pPr>
        <w:spacing w:after="40" w:before="0"/>
      </w:pPr>
    </w:p>
    <w:p>
      <w:pPr>
        <w:jc w:val="center"/>
      </w:pPr>
      <w:r>
        <w:rPr>
          <w:rFonts w:ascii="Arial" w:cs="Arial" w:eastAsia="Arial" w:hAnsi="Arial"/>
          <w:b/>
          <w:bCs/>
          <w:color w:val="C5922A"/>
          <w:sz w:val="26"/>
          <w:szCs w:val="26"/>
        </w:rPr>
        <w:t xml:space="preserve">( GLOW )</w:t>
      </w:r>
    </w:p>
    <w:p>
      <w:pPr>
        <w:spacing w:after="80" w:before="0"/>
      </w:pPr>
    </w:p>
    <w:p>
      <w:pPr>
        <w:pBdr>
          <w:bottom w:val="single" w:color="C5922A" w:sz="6" w:space="1"/>
        </w:pBdr>
        <w:spacing w:after="0" w:before="0"/>
      </w:pPr>
    </w:p>
    <w:p>
      <w:pPr>
        <w:spacing w:after="100" w:before="0"/>
      </w:pPr>
    </w:p>
    <w:p>
      <w:pPr>
        <w:jc w:val="center"/>
      </w:pPr>
      <w:r>
        <w:rPr>
          <w:rFonts w:ascii="Garamond" w:cs="Garamond" w:eastAsia="Garamond" w:hAnsi="Garamond"/>
          <w:i/>
          <w:iCs/>
          <w:color w:val="666666"/>
          <w:sz w:val="22"/>
          <w:szCs w:val="22"/>
        </w:rPr>
        <w:t xml:space="preserve">Reference No. HCM/ADV/001</w:t>
      </w:r>
    </w:p>
    <w:p>
      <w:pPr>
        <w:spacing w:after="40" w:before="0"/>
      </w:pPr>
    </w:p>
    <w:p>
      <w:pPr>
        <w:jc w:val="center"/>
      </w:pPr>
      <w:r>
        <w:rPr>
          <w:rFonts w:ascii="Garamond" w:cs="Garamond" w:eastAsia="Garamond" w:hAnsi="Garamond"/>
          <w:i/>
          <w:iCs/>
          <w:color w:val="666666"/>
          <w:sz w:val="22"/>
          <w:szCs w:val="22"/>
        </w:rPr>
        <w:t xml:space="preserve">Request submitted jointly by the Governments of Ghanidash, Hin-Klia, and Pramatra</w:t>
      </w:r>
    </w:p>
    <w:p>
      <w:pPr>
        <w:spacing w:after="40" w:before="0"/>
      </w:pPr>
    </w:p>
    <w:p>
      <w:pPr>
        <w:jc w:val="center"/>
      </w:pPr>
      <w:r>
        <w:rPr>
          <w:rFonts w:ascii="Garamond" w:cs="Garamond" w:eastAsia="Garamond" w:hAnsi="Garamond"/>
          <w:i/>
          <w:iCs/>
          <w:color w:val="666666"/>
          <w:sz w:val="22"/>
          <w:szCs w:val="22"/>
        </w:rPr>
        <w:t xml:space="preserve">pursuant to Article 34 of the Statute of the High Court of Mir</w:t>
      </w:r>
    </w:p>
    <w:p>
      <w:pPr>
        <w:spacing w:after="200" w:before="0"/>
      </w:pPr>
    </w:p>
    <w:p>
      <w:pPr>
        <w:spacing w:after="40" w:before="80"/>
        <w:jc w:val="center"/>
      </w:pPr>
      <w:r>
        <w:rPr>
          <w:rFonts w:ascii="Arial" w:cs="Arial" w:eastAsia="Arial" w:hAnsi="Arial"/>
          <w:b/>
          <w:bCs/>
          <w:color w:val="1B3A6B"/>
          <w:sz w:val="20"/>
          <w:szCs w:val="20"/>
        </w:rPr>
        <w:t xml:space="preserve">COMPOSED AS FOLLOWS:</w:t>
      </w:r>
    </w:p>
    <w:p>
      <w:pPr>
        <w:spacing w:after="40" w:before="0"/>
      </w:pPr>
    </w:p>
    <w:p>
      <w:pPr>
        <w:jc w:val="center"/>
      </w:pPr>
      <w:r>
        <w:rPr>
          <w:rFonts w:ascii="Garamond" w:cs="Garamond" w:eastAsia="Garamond" w:hAnsi="Garamond"/>
          <w:i/>
          <w:iCs/>
          <w:color w:val="333333"/>
          <w:sz w:val="21"/>
          <w:szCs w:val="21"/>
        </w:rPr>
        <w:t xml:space="preserve">President Elaryn Sovath; Vice-Presidents Mira Valdún and Castor Nheim;</w:t>
      </w:r>
    </w:p>
    <w:p>
      <w:pPr>
        <w:jc w:val="center"/>
      </w:pPr>
      <w:r>
        <w:rPr>
          <w:rFonts w:ascii="Garamond" w:cs="Garamond" w:eastAsia="Garamond" w:hAnsi="Garamond"/>
          <w:i/>
          <w:iCs/>
          <w:color w:val="333333"/>
          <w:sz w:val="21"/>
          <w:szCs w:val="21"/>
        </w:rPr>
        <w:t xml:space="preserve">Judges Prela Oshan, Borin Axt, Theyra Muul, Sevin Dacharí,</w:t>
      </w:r>
    </w:p>
    <w:p>
      <w:pPr>
        <w:jc w:val="center"/>
      </w:pPr>
      <w:r>
        <w:rPr>
          <w:rFonts w:ascii="Garamond" w:cs="Garamond" w:eastAsia="Garamond" w:hAnsi="Garamond"/>
          <w:i/>
          <w:iCs/>
          <w:color w:val="333333"/>
          <w:sz w:val="21"/>
          <w:szCs w:val="21"/>
        </w:rPr>
        <w:t xml:space="preserve">Aleth Convar, Maris Polenden, and Uko Fenn</w:t>
      </w:r>
    </w:p>
    <w:p>
      <w:pPr>
        <w:spacing w:after="80" w:before="0"/>
      </w:pPr>
    </w:p>
    <w:p>
      <w:pPr>
        <w:pBdr>
          <w:bottom w:val="single" w:color="1B3A6B" w:sz="6" w:space="1"/>
        </w:pBdr>
        <w:spacing w:after="0" w:before="0"/>
      </w:pPr>
    </w:p>
    <w:p>
      <w:pPr>
        <w:spacing w:after="80" w:before="0"/>
      </w:pPr>
    </w:p>
    <w:p>
      <w:pPr>
        <w:jc w:val="center"/>
      </w:pPr>
      <w:r>
        <w:rPr>
          <w:rFonts w:ascii="Garamond" w:cs="Garamond" w:eastAsia="Garamond" w:hAnsi="Garamond"/>
          <w:i/>
          <w:iCs/>
          <w:color w:val="666666"/>
          <w:sz w:val="22"/>
          <w:szCs w:val="22"/>
        </w:rPr>
        <w:t xml:space="preserve">Delivers the following Advisory Opinion:</w:t>
      </w:r>
    </w:p>
    <w:p>
      <w:pPr>
        <w:spacing w:after="300" w:before="0"/>
      </w:pPr>
    </w:p>
    <w:p>
      <w:pPr>
        <w:spacing w:after="80" w:before="400"/>
        <w:jc w:val="center"/>
      </w:pPr>
      <w:r>
        <w:rPr>
          <w:rFonts w:ascii="Arial" w:cs="Arial" w:eastAsia="Arial" w:hAnsi="Arial"/>
          <w:b/>
          <w:bCs/>
          <w:caps/>
          <w:color w:val="1B3A6B"/>
          <w:sz w:val="26"/>
          <w:szCs w:val="26"/>
        </w:rPr>
        <w:t xml:space="preserve">I. THE REQUEST</w:t>
      </w:r>
    </w:p>
    <w:p>
      <w:pPr>
        <w:pBdr>
          <w:bottom w:val="single" w:color="1B3A6B" w:sz="6" w:space="1"/>
        </w:pBdr>
        <w:spacing w:after="160" w:before="40"/>
      </w:pPr>
    </w:p>
    <w:p>
      <w:pPr>
        <w:spacing w:after="80" w:before="80" w:line="276"/>
        <w:ind w:left="720" w:hanging="360"/>
        <w:jc w:val="both"/>
      </w:pPr>
      <w:r>
        <w:rPr>
          <w:rFonts w:ascii="Garamond" w:cs="Garamond" w:eastAsia="Garamond" w:hAnsi="Garamond"/>
          <w:b/>
          <w:bCs/>
          <w:color w:val="1B3A6B"/>
          <w:sz w:val="22"/>
          <w:szCs w:val="22"/>
        </w:rPr>
        <w:t xml:space="preserve">1.  </w:t>
      </w:r>
      <w:r>
        <w:rPr>
          <w:rFonts w:ascii="Garamond" w:cs="Garamond" w:eastAsia="Garamond" w:hAnsi="Garamond"/>
          <w:color w:val="333333"/>
          <w:sz w:val="22"/>
          <w:szCs w:val="22"/>
        </w:rPr>
        <w:t xml:space="preserve">By a joint communication addressed to the Registrar of the High Court of Mir, the Governments of Ghanidash, Hin-Klia, and Pramatra requested the Advisory Chamber to render an advisory opinion on the following question:</w:t>
      </w:r>
    </w:p>
    <w:p>
      <w:pPr>
        <w:spacing w:after="60" w:before="0"/>
      </w:pPr>
    </w:p>
    <w:p>
      <w:pPr>
        <w:pBdr>
          <w:left w:val="single" w:color="1B3A6B" w:sz="12" w:space="8"/>
        </w:pBdr>
        <w:spacing w:after="100" w:before="100" w:line="300"/>
        <w:ind w:left="720"/>
        <w:jc w:val="both"/>
      </w:pPr>
      <w:r>
        <w:rPr>
          <w:rFonts w:ascii="Garamond" w:cs="Garamond" w:eastAsia="Garamond" w:hAnsi="Garamond"/>
          <w:i/>
          <w:iCs/>
          <w:color w:val="333333"/>
          <w:sz w:val="22"/>
          <w:szCs w:val="22"/>
        </w:rPr>
        <w:t xml:space="preserve">Is the threat or use of nuclear weapons permitted in any circumstance under international law as it applies in Mir, including the laws of armed conflict, the Charter of the United Mirians, and the treaty obligations of states?</w:t>
      </w:r>
    </w:p>
    <w:p>
      <w:pPr>
        <w:spacing w:after="60" w:before="0"/>
      </w:pPr>
    </w:p>
    <w:p>
      <w:pPr>
        <w:spacing w:after="80" w:before="80" w:line="276"/>
        <w:ind w:left="720" w:hanging="360"/>
        <w:jc w:val="both"/>
      </w:pPr>
      <w:r>
        <w:rPr>
          <w:rFonts w:ascii="Garamond" w:cs="Garamond" w:eastAsia="Garamond" w:hAnsi="Garamond"/>
          <w:b/>
          <w:bCs/>
          <w:color w:val="1B3A6B"/>
          <w:sz w:val="22"/>
          <w:szCs w:val="22"/>
        </w:rPr>
        <w:t xml:space="preserve">2.  </w:t>
      </w:r>
      <w:r>
        <w:rPr>
          <w:rFonts w:ascii="Garamond" w:cs="Garamond" w:eastAsia="Garamond" w:hAnsi="Garamond"/>
          <w:color w:val="333333"/>
          <w:sz w:val="22"/>
          <w:szCs w:val="22"/>
        </w:rPr>
        <w:t xml:space="preserve">The request was made pursuant to Article 34 of the Statute of the High Court of Mir, which authorizes the United Mirians General Assembly and states duly authorized by the General Assembly to request advisory opinions on legal questions. The UMGA authorized this joint request by a vote of four in favour, with one abstention.</w:t>
      </w:r>
    </w:p>
    <w:p>
      <w:pPr>
        <w:spacing w:after="80" w:before="80" w:line="276"/>
        <w:ind w:left="720" w:hanging="360"/>
        <w:jc w:val="both"/>
      </w:pPr>
      <w:r>
        <w:rPr>
          <w:rFonts w:ascii="Garamond" w:cs="Garamond" w:eastAsia="Garamond" w:hAnsi="Garamond"/>
          <w:b/>
          <w:bCs/>
          <w:color w:val="1B3A6B"/>
          <w:sz w:val="22"/>
          <w:szCs w:val="22"/>
        </w:rPr>
        <w:t xml:space="preserve">3.  </w:t>
      </w:r>
      <w:r>
        <w:rPr>
          <w:rFonts w:ascii="Garamond" w:cs="Garamond" w:eastAsia="Garamond" w:hAnsi="Garamond"/>
          <w:color w:val="333333"/>
          <w:sz w:val="22"/>
          <w:szCs w:val="22"/>
        </w:rPr>
        <w:t xml:space="preserve">The requesting states submitted written statements in support of their request. Written statements were also received from all other Member States of the United Mirians. Oral proceedings were held at the seat of the Court, at which all five Member States were represented.</w:t>
      </w:r>
    </w:p>
    <w:p>
      <w:pPr>
        <w:spacing w:after="80" w:before="80" w:line="276"/>
        <w:ind w:left="720" w:hanging="360"/>
        <w:jc w:val="both"/>
      </w:pPr>
      <w:r>
        <w:rPr>
          <w:rFonts w:ascii="Garamond" w:cs="Garamond" w:eastAsia="Garamond" w:hAnsi="Garamond"/>
          <w:b/>
          <w:bCs/>
          <w:color w:val="1B3A6B"/>
          <w:sz w:val="22"/>
          <w:szCs w:val="22"/>
        </w:rPr>
        <w:t xml:space="preserve">4.  </w:t>
      </w:r>
      <w:r>
        <w:rPr>
          <w:rFonts w:ascii="Garamond" w:cs="Garamond" w:eastAsia="Garamond" w:hAnsi="Garamond"/>
          <w:color w:val="333333"/>
          <w:sz w:val="22"/>
          <w:szCs w:val="22"/>
        </w:rPr>
        <w:t xml:space="preserve">The Chamber notes at the outset that the question posed is one of international law and falls within the scope of the Court's advisory jurisdiction. The Chamber is not asked to rule on the conduct of any particular state or on the lawfulness of any specific use or threatened use of nuclear weapons. The opinion addresses the general question as a matter of law.</w:t>
      </w:r>
    </w:p>
    <w:p>
      <w:pPr>
        <w:spacing w:after="80" w:before="80" w:line="276"/>
        <w:ind w:left="720" w:hanging="360"/>
        <w:jc w:val="both"/>
      </w:pPr>
      <w:r>
        <w:rPr>
          <w:rFonts w:ascii="Garamond" w:cs="Garamond" w:eastAsia="Garamond" w:hAnsi="Garamond"/>
          <w:b/>
          <w:bCs/>
          <w:color w:val="1B3A6B"/>
          <w:sz w:val="22"/>
          <w:szCs w:val="22"/>
        </w:rPr>
        <w:t xml:space="preserve">5.  </w:t>
      </w:r>
      <w:r>
        <w:rPr>
          <w:rFonts w:ascii="Garamond" w:cs="Garamond" w:eastAsia="Garamond" w:hAnsi="Garamond"/>
          <w:color w:val="333333"/>
          <w:sz w:val="22"/>
          <w:szCs w:val="22"/>
        </w:rPr>
        <w:t xml:space="preserve">The Chamber is mindful that the question has been submitted by states that have expressed particular vulnerability to the threat posed by nuclear weapons and that have articulated a strong interest in the legal regulation of such weapons. The Chamber emphasizes that its function is to state the law as it stands, and that the legal conclusions reached below reflect the Chamber's independent assessment of applicable legal norms rather than the preferences of any party.</w:t>
      </w:r>
    </w:p>
    <w:p>
      <w:pPr>
        <w:spacing w:after="200" w:before="0"/>
      </w:pPr>
    </w:p>
    <w:p>
      <w:pPr>
        <w:spacing w:after="80" w:before="400"/>
        <w:jc w:val="center"/>
      </w:pPr>
      <w:r>
        <w:rPr>
          <w:rFonts w:ascii="Arial" w:cs="Arial" w:eastAsia="Arial" w:hAnsi="Arial"/>
          <w:b/>
          <w:bCs/>
          <w:caps/>
          <w:color w:val="1B3A6B"/>
          <w:sz w:val="26"/>
          <w:szCs w:val="26"/>
        </w:rPr>
        <w:t xml:space="preserve">II. THE APPLICABLE LEGAL FRAMEWORK</w:t>
      </w:r>
    </w:p>
    <w:p>
      <w:pPr>
        <w:pBdr>
          <w:bottom w:val="single" w:color="1B3A6B" w:sz="6" w:space="1"/>
        </w:pBdr>
        <w:spacing w:after="160" w:before="40"/>
      </w:pPr>
    </w:p>
    <w:p>
      <w:pPr>
        <w:spacing w:after="80" w:before="280"/>
      </w:pPr>
      <w:r>
        <w:rPr>
          <w:rFonts w:ascii="Arial" w:cs="Arial" w:eastAsia="Arial" w:hAnsi="Arial"/>
          <w:b/>
          <w:bCs/>
          <w:color w:val="1B3A6B"/>
          <w:sz w:val="22"/>
          <w:szCs w:val="22"/>
        </w:rPr>
        <w:t xml:space="preserve">A. The Charter of the United Mirians</w:t>
      </w:r>
    </w:p>
    <w:p>
      <w:pPr>
        <w:spacing w:after="80" w:before="80" w:line="276"/>
        <w:ind w:left="720" w:hanging="360"/>
        <w:jc w:val="both"/>
      </w:pPr>
      <w:r>
        <w:rPr>
          <w:rFonts w:ascii="Garamond" w:cs="Garamond" w:eastAsia="Garamond" w:hAnsi="Garamond"/>
          <w:b/>
          <w:bCs/>
          <w:color w:val="1B3A6B"/>
          <w:sz w:val="22"/>
          <w:szCs w:val="22"/>
        </w:rPr>
        <w:t xml:space="preserve">6.  </w:t>
      </w:r>
      <w:r>
        <w:rPr>
          <w:rFonts w:ascii="Garamond" w:cs="Garamond" w:eastAsia="Garamond" w:hAnsi="Garamond"/>
          <w:color w:val="333333"/>
          <w:sz w:val="22"/>
          <w:szCs w:val="22"/>
        </w:rPr>
        <w:t xml:space="preserve">The Charter of the United Mirians establishes the foundational legal framework governing the resort to force in Mir. Article 2(4) of the Charter prohibits the threat or use of force against the territorial integrity or political independence of any state. This prohibition is of a general character and applies to all weapons, including nuclear weapons. The Chamber finds that the use of nuclear weapons against another state would in principle constitute a use of force within the meaning of Article 2(4).</w:t>
      </w:r>
    </w:p>
    <w:p>
      <w:pPr>
        <w:spacing w:after="80" w:before="80" w:line="276"/>
        <w:ind w:left="720" w:hanging="360"/>
        <w:jc w:val="both"/>
      </w:pPr>
      <w:r>
        <w:rPr>
          <w:rFonts w:ascii="Garamond" w:cs="Garamond" w:eastAsia="Garamond" w:hAnsi="Garamond"/>
          <w:b/>
          <w:bCs/>
          <w:color w:val="1B3A6B"/>
          <w:sz w:val="22"/>
          <w:szCs w:val="22"/>
        </w:rPr>
        <w:t xml:space="preserve">7.  </w:t>
      </w:r>
      <w:r>
        <w:rPr>
          <w:rFonts w:ascii="Garamond" w:cs="Garamond" w:eastAsia="Garamond" w:hAnsi="Garamond"/>
          <w:color w:val="333333"/>
          <w:sz w:val="22"/>
          <w:szCs w:val="22"/>
        </w:rPr>
        <w:t xml:space="preserve">Article 20 of the Charter preserves the inherent right of individual and collective self-defence in response to an armed attack. The Charter does not by its terms restrict this right to particular weapons or means of warfare. The question of whether the use of nuclear weapons in self-defence is consistent with the Charter therefore depends on whether such use satisfies the requirements of necessity and proportionality that are inherent in the right of self-defence under customary international law.</w:t>
      </w:r>
    </w:p>
    <w:p>
      <w:pPr>
        <w:spacing w:after="80" w:before="80" w:line="276"/>
        <w:ind w:left="720" w:hanging="360"/>
        <w:jc w:val="both"/>
      </w:pPr>
      <w:r>
        <w:rPr>
          <w:rFonts w:ascii="Garamond" w:cs="Garamond" w:eastAsia="Garamond" w:hAnsi="Garamond"/>
          <w:b/>
          <w:bCs/>
          <w:color w:val="1B3A6B"/>
          <w:sz w:val="22"/>
          <w:szCs w:val="22"/>
        </w:rPr>
        <w:t xml:space="preserve">8.  </w:t>
      </w:r>
      <w:r>
        <w:rPr>
          <w:rFonts w:ascii="Garamond" w:cs="Garamond" w:eastAsia="Garamond" w:hAnsi="Garamond"/>
          <w:color w:val="333333"/>
          <w:sz w:val="22"/>
          <w:szCs w:val="22"/>
        </w:rPr>
        <w:t xml:space="preserve">The Charter does not address nuclear weapons specifically. The negotiating history of the Charter confirms that the question of nuclear weapons was not resolved at the time of drafting and was left to the development of other instruments and customary law. The Charter framework therefore does not by itself resolve the question posed by the requesting states.</w:t>
      </w:r>
    </w:p>
    <w:p>
      <w:pPr>
        <w:spacing w:after="60" w:before="40" w:line="260"/>
        <w:ind w:left="360"/>
        <w:jc w:val="both"/>
      </w:pPr>
      <w:r>
        <w:rPr>
          <w:rFonts w:ascii="Arial" w:cs="Arial" w:eastAsia="Arial" w:hAnsi="Arial"/>
          <w:i/>
          <w:iCs/>
          <w:color w:val="C5922A"/>
          <w:sz w:val="19"/>
          <w:szCs w:val="19"/>
        </w:rPr>
        <w:t xml:space="preserve">Cross-reference: UM Charter Articles 2(4), 20, and 21 — use of force framework and self-defence.</w:t>
      </w:r>
    </w:p>
    <w:p>
      <w:pPr>
        <w:spacing w:after="80" w:before="280"/>
      </w:pPr>
      <w:r>
        <w:rPr>
          <w:rFonts w:ascii="Arial" w:cs="Arial" w:eastAsia="Arial" w:hAnsi="Arial"/>
          <w:b/>
          <w:bCs/>
          <w:color w:val="1B3A6B"/>
          <w:sz w:val="22"/>
          <w:szCs w:val="22"/>
        </w:rPr>
        <w:t xml:space="preserve">B. The Mir Comprehensive Weapons Convention</w:t>
      </w:r>
    </w:p>
    <w:p>
      <w:pPr>
        <w:spacing w:after="80" w:before="80" w:line="276"/>
        <w:ind w:left="720" w:hanging="360"/>
        <w:jc w:val="both"/>
      </w:pPr>
      <w:r>
        <w:rPr>
          <w:rFonts w:ascii="Garamond" w:cs="Garamond" w:eastAsia="Garamond" w:hAnsi="Garamond"/>
          <w:b/>
          <w:bCs/>
          <w:color w:val="1B3A6B"/>
          <w:sz w:val="22"/>
          <w:szCs w:val="22"/>
        </w:rPr>
        <w:t xml:space="preserve">9.  </w:t>
      </w:r>
      <w:r>
        <w:rPr>
          <w:rFonts w:ascii="Garamond" w:cs="Garamond" w:eastAsia="Garamond" w:hAnsi="Garamond"/>
          <w:color w:val="333333"/>
          <w:sz w:val="22"/>
          <w:szCs w:val="22"/>
        </w:rPr>
        <w:t xml:space="preserve">The Mir Comprehensive Weapons Convention (MCWC) contains explicit prohibitions on the development, production, stockpiling, transfer, and use of nuclear weapons. Article 3(1)(d) prohibits use in all circumstances, and Article 3(2) states that this prohibition applies including in self-defence.</w:t>
      </w:r>
    </w:p>
    <w:p>
      <w:pPr>
        <w:spacing w:after="80" w:before="80" w:line="276"/>
        <w:ind w:left="720" w:hanging="360"/>
        <w:jc w:val="both"/>
      </w:pPr>
      <w:r>
        <w:rPr>
          <w:rFonts w:ascii="Garamond" w:cs="Garamond" w:eastAsia="Garamond" w:hAnsi="Garamond"/>
          <w:b/>
          <w:bCs/>
          <w:color w:val="1B3A6B"/>
          <w:sz w:val="22"/>
          <w:szCs w:val="22"/>
        </w:rPr>
        <w:t xml:space="preserve">10.  </w:t>
      </w:r>
      <w:r>
        <w:rPr>
          <w:rFonts w:ascii="Garamond" w:cs="Garamond" w:eastAsia="Garamond" w:hAnsi="Garamond"/>
          <w:color w:val="333333"/>
          <w:sz w:val="22"/>
          <w:szCs w:val="22"/>
        </w:rPr>
        <w:t xml:space="preserve">The Chamber notes that the MCWC permits reservations under Article 20, provided that such reservations are not incompatible with the object and purpose of the Convention. The Chamber observes that a reservation purporting to authorize nuclear use in circumstances of national necessity raises significant questions of compatibility with the Convention's object and purpose, as stated in Article 1 of that instrument. The Chamber does not resolve this question in the present opinion, as it concerns the interpretation of a specific treaty provision rather than the general question of international law posed by the requesting states.</w:t>
      </w:r>
    </w:p>
    <w:p>
      <w:pPr>
        <w:spacing w:after="80" w:before="80" w:line="276"/>
        <w:ind w:left="720" w:hanging="360"/>
        <w:jc w:val="both"/>
      </w:pPr>
      <w:r>
        <w:rPr>
          <w:rFonts w:ascii="Garamond" w:cs="Garamond" w:eastAsia="Garamond" w:hAnsi="Garamond"/>
          <w:b/>
          <w:bCs/>
          <w:color w:val="1B3A6B"/>
          <w:sz w:val="22"/>
          <w:szCs w:val="22"/>
        </w:rPr>
        <w:t xml:space="preserve">11.  </w:t>
      </w:r>
      <w:r>
        <w:rPr>
          <w:rFonts w:ascii="Garamond" w:cs="Garamond" w:eastAsia="Garamond" w:hAnsi="Garamond"/>
          <w:color w:val="333333"/>
          <w:sz w:val="22"/>
          <w:szCs w:val="22"/>
        </w:rPr>
        <w:t xml:space="preserve">For states that are parties to the MCWC without reservation, the treaty prohibition on nuclear use is clear and unambiguous. The legal question becomes more complex with respect to states that have entered reservations of uncertain validity, and with respect to the relationship between treaty obligations and the customary international law of armed conflict.</w:t>
      </w:r>
    </w:p>
    <w:p>
      <w:pPr>
        <w:spacing w:after="60" w:before="40" w:line="260"/>
        <w:ind w:left="360"/>
        <w:jc w:val="both"/>
      </w:pPr>
      <w:r>
        <w:rPr>
          <w:rFonts w:ascii="Arial" w:cs="Arial" w:eastAsia="Arial" w:hAnsi="Arial"/>
          <w:i/>
          <w:iCs/>
          <w:color w:val="C5922A"/>
          <w:sz w:val="19"/>
          <w:szCs w:val="19"/>
        </w:rPr>
        <w:t xml:space="preserve">Cross-reference: MCWC Articles 3, 6, 19, and 20 — prohibition on use, non-proliferation, customary status, and reservations.</w:t>
      </w:r>
    </w:p>
    <w:p>
      <w:pPr>
        <w:spacing w:after="80" w:before="280"/>
      </w:pPr>
      <w:r>
        <w:rPr>
          <w:rFonts w:ascii="Arial" w:cs="Arial" w:eastAsia="Arial" w:hAnsi="Arial"/>
          <w:b/>
          <w:bCs/>
          <w:color w:val="1B3A6B"/>
          <w:sz w:val="22"/>
          <w:szCs w:val="22"/>
        </w:rPr>
        <w:t xml:space="preserve">C. The Laws of Armed Conflict</w:t>
      </w:r>
    </w:p>
    <w:p>
      <w:pPr>
        <w:spacing w:after="80" w:before="80" w:line="276"/>
        <w:ind w:left="720" w:hanging="360"/>
        <w:jc w:val="both"/>
      </w:pPr>
      <w:r>
        <w:rPr>
          <w:rFonts w:ascii="Garamond" w:cs="Garamond" w:eastAsia="Garamond" w:hAnsi="Garamond"/>
          <w:b/>
          <w:bCs/>
          <w:color w:val="1B3A6B"/>
          <w:sz w:val="22"/>
          <w:szCs w:val="22"/>
        </w:rPr>
        <w:t xml:space="preserve">12.  </w:t>
      </w:r>
      <w:r>
        <w:rPr>
          <w:rFonts w:ascii="Garamond" w:cs="Garamond" w:eastAsia="Garamond" w:hAnsi="Garamond"/>
          <w:color w:val="333333"/>
          <w:sz w:val="22"/>
          <w:szCs w:val="22"/>
        </w:rPr>
        <w:t xml:space="preserve">The laws of armed conflict as codified in the Mir Standards on Warfare, Operations, and Rights of the Detained (SWORD) and as reflected in customary international law establish rules that apply to all weapons and all means and methods of warfare. The Chamber examines the principal rules applicable to nuclear weapons.</w:t>
      </w:r>
    </w:p>
    <w:p>
      <w:pPr>
        <w:spacing w:after="80" w:before="80" w:line="276"/>
        <w:ind w:left="720" w:hanging="360"/>
        <w:jc w:val="both"/>
      </w:pPr>
      <w:r>
        <w:rPr>
          <w:rFonts w:ascii="Garamond" w:cs="Garamond" w:eastAsia="Garamond" w:hAnsi="Garamond"/>
          <w:b/>
          <w:bCs/>
          <w:color w:val="1B3A6B"/>
          <w:sz w:val="22"/>
          <w:szCs w:val="22"/>
        </w:rPr>
        <w:t xml:space="preserve">13.  </w:t>
      </w:r>
      <w:r>
        <w:rPr>
          <w:rFonts w:ascii="Garamond" w:cs="Garamond" w:eastAsia="Garamond" w:hAnsi="Garamond"/>
          <w:color w:val="333333"/>
          <w:sz w:val="22"/>
          <w:szCs w:val="22"/>
        </w:rPr>
        <w:t xml:space="preserve">The principle of distinction, codified in Article 16 of the SWORD, requires parties to a conflict to distinguish at all times between the civilian population and combatants and between civilian objects and military objectives. Attacks may be directed only against military objectives. The Chamber observes that the effects of nuclear weapons — blast, heat, and ionizing radiation — extend beyond any definable military objective and cannot be controlled so as to affect only combatants or military objects. This characteristic raises serious questions about the compatibility of nuclear weapons use with the principle of distinction.</w:t>
      </w:r>
    </w:p>
    <w:p>
      <w:pPr>
        <w:spacing w:after="80" w:before="80" w:line="276"/>
        <w:ind w:left="720" w:hanging="360"/>
        <w:jc w:val="both"/>
      </w:pPr>
      <w:r>
        <w:rPr>
          <w:rFonts w:ascii="Garamond" w:cs="Garamond" w:eastAsia="Garamond" w:hAnsi="Garamond"/>
          <w:b/>
          <w:bCs/>
          <w:color w:val="1B3A6B"/>
          <w:sz w:val="22"/>
          <w:szCs w:val="22"/>
        </w:rPr>
        <w:t xml:space="preserve">14.  </w:t>
      </w:r>
      <w:r>
        <w:rPr>
          <w:rFonts w:ascii="Garamond" w:cs="Garamond" w:eastAsia="Garamond" w:hAnsi="Garamond"/>
          <w:color w:val="333333"/>
          <w:sz w:val="22"/>
          <w:szCs w:val="22"/>
        </w:rPr>
        <w:t xml:space="preserve">The principle of proportionality, codified in Article 17 of the SWORD, prohibits attacks whose anticipated civilian harm is excessive in relation to the concrete and direct military advantage anticipated. The Chamber observes that nuclear weapons, by reason of their destructive power and the long-term effects of radiation, are capable of causing civilian harm of a scale and duration that would in most conceivable circumstances be difficult to justify as proportionate to any military advantage. The proportionality assessment must be made with reference to the actual effects of the specific weapon used, not to an idealized conception of limited nuclear use.</w:t>
      </w:r>
    </w:p>
    <w:p>
      <w:pPr>
        <w:spacing w:after="80" w:before="80" w:line="276"/>
        <w:ind w:left="720" w:hanging="360"/>
        <w:jc w:val="both"/>
      </w:pPr>
      <w:r>
        <w:rPr>
          <w:rFonts w:ascii="Garamond" w:cs="Garamond" w:eastAsia="Garamond" w:hAnsi="Garamond"/>
          <w:b/>
          <w:bCs/>
          <w:color w:val="1B3A6B"/>
          <w:sz w:val="22"/>
          <w:szCs w:val="22"/>
        </w:rPr>
        <w:t xml:space="preserve">15.  </w:t>
      </w:r>
      <w:r>
        <w:rPr>
          <w:rFonts w:ascii="Garamond" w:cs="Garamond" w:eastAsia="Garamond" w:hAnsi="Garamond"/>
          <w:color w:val="333333"/>
          <w:sz w:val="22"/>
          <w:szCs w:val="22"/>
        </w:rPr>
        <w:t xml:space="preserve">Article 22 of the SWORD prohibits means of warfare that cause widespread, long-term, and severe damage to the natural environment. The Chamber finds that the use of nuclear weapons would in most circumstances produce environmental consequences satisfying this definition, particularly with respect to radiation contamination of land, water, and living organisms. The Chamber notes that Article 22(3) of the SWORD states that this prohibition is not subject to derogation on grounds of military necessity.</w:t>
      </w:r>
    </w:p>
    <w:p>
      <w:pPr>
        <w:spacing w:after="80" w:before="80" w:line="276"/>
        <w:ind w:left="720" w:hanging="360"/>
        <w:jc w:val="both"/>
      </w:pPr>
      <w:r>
        <w:rPr>
          <w:rFonts w:ascii="Garamond" w:cs="Garamond" w:eastAsia="Garamond" w:hAnsi="Garamond"/>
          <w:b/>
          <w:bCs/>
          <w:color w:val="1B3A6B"/>
          <w:sz w:val="22"/>
          <w:szCs w:val="22"/>
        </w:rPr>
        <w:t xml:space="preserve">16.  </w:t>
      </w:r>
      <w:r>
        <w:rPr>
          <w:rFonts w:ascii="Garamond" w:cs="Garamond" w:eastAsia="Garamond" w:hAnsi="Garamond"/>
          <w:color w:val="333333"/>
          <w:sz w:val="22"/>
          <w:szCs w:val="22"/>
        </w:rPr>
        <w:t xml:space="preserve">Article 21 of the SWORD prohibits weapons that are by nature indiscriminate — meaning weapons that cannot be directed at a specific military objective or whose effects cannot be limited as required by the laws of armed conflict. The Chamber observes that nuclear weapons, particularly those of significant yield, exhibit characteristics that make the indiscriminate nature argument compelling. Whether a weapon of sufficiently limited yield deployed in sufficiently isolated circumstances could avoid this characterization is a matter on which the Chamber cannot reach a definitive conclusion in the abstract.</w:t>
      </w:r>
    </w:p>
    <w:p>
      <w:pPr>
        <w:spacing w:after="80" w:before="80" w:line="276"/>
        <w:ind w:left="720" w:hanging="360"/>
        <w:jc w:val="both"/>
      </w:pPr>
      <w:r>
        <w:rPr>
          <w:rFonts w:ascii="Garamond" w:cs="Garamond" w:eastAsia="Garamond" w:hAnsi="Garamond"/>
          <w:b/>
          <w:bCs/>
          <w:color w:val="1B3A6B"/>
          <w:sz w:val="22"/>
          <w:szCs w:val="22"/>
        </w:rPr>
        <w:t xml:space="preserve">17.  </w:t>
      </w:r>
      <w:r>
        <w:rPr>
          <w:rFonts w:ascii="Garamond" w:cs="Garamond" w:eastAsia="Garamond" w:hAnsi="Garamond"/>
          <w:color w:val="333333"/>
          <w:sz w:val="22"/>
          <w:szCs w:val="22"/>
        </w:rPr>
        <w:t xml:space="preserve">The Martens Clause, reflected in Article 1(4) of the SWORD, provides that in cases not covered by specific treaty provisions, persons remain under the protection of the principles of international law derived from established custom, the principles of humanity, and the dictates of public conscience. The requesting states invoke the Martens Clause as an independent basis for the prohibition on nuclear weapons use. The Chamber finds that the Martens Clause reinforces rather than displaces the analysis under the specific provisions of the SWORD, and does not by itself generate a categorical prohibition going beyond what those provisions establish.</w:t>
      </w:r>
    </w:p>
    <w:p>
      <w:pPr>
        <w:spacing w:after="60" w:before="40" w:line="260"/>
        <w:ind w:left="360"/>
        <w:jc w:val="both"/>
      </w:pPr>
      <w:r>
        <w:rPr>
          <w:rFonts w:ascii="Arial" w:cs="Arial" w:eastAsia="Arial" w:hAnsi="Arial"/>
          <w:i/>
          <w:iCs/>
          <w:color w:val="C5922A"/>
          <w:sz w:val="19"/>
          <w:szCs w:val="19"/>
        </w:rPr>
        <w:t xml:space="preserve">Cross-reference: SWORD Articles 1(4), 16, 17, 21, and 22 — Martens Clause, distinction, proportionality, indiscriminate weapons, environmental protection.</w:t>
      </w:r>
    </w:p>
    <w:p>
      <w:pPr>
        <w:spacing w:after="200" w:before="0"/>
      </w:pPr>
    </w:p>
    <w:p>
      <w:pPr>
        <w:spacing w:after="80" w:before="400"/>
        <w:jc w:val="center"/>
      </w:pPr>
      <w:r>
        <w:rPr>
          <w:rFonts w:ascii="Arial" w:cs="Arial" w:eastAsia="Arial" w:hAnsi="Arial"/>
          <w:b/>
          <w:bCs/>
          <w:caps/>
          <w:color w:val="1B3A6B"/>
          <w:sz w:val="26"/>
          <w:szCs w:val="26"/>
        </w:rPr>
        <w:t xml:space="preserve">III. THE CHAMBER'S ANALYSIS</w:t>
      </w:r>
    </w:p>
    <w:p>
      <w:pPr>
        <w:pBdr>
          <w:bottom w:val="single" w:color="1B3A6B" w:sz="6" w:space="1"/>
        </w:pBdr>
        <w:spacing w:after="160" w:before="40"/>
      </w:pPr>
    </w:p>
    <w:p>
      <w:pPr>
        <w:spacing w:after="80" w:before="280"/>
      </w:pPr>
      <w:r>
        <w:rPr>
          <w:rFonts w:ascii="Arial" w:cs="Arial" w:eastAsia="Arial" w:hAnsi="Arial"/>
          <w:b/>
          <w:bCs/>
          <w:color w:val="1B3A6B"/>
          <w:sz w:val="22"/>
          <w:szCs w:val="22"/>
        </w:rPr>
        <w:t xml:space="preserve">A. The General Rule</w:t>
      </w:r>
    </w:p>
    <w:p>
      <w:pPr>
        <w:spacing w:after="80" w:before="80" w:line="276"/>
        <w:ind w:left="720" w:hanging="360"/>
        <w:jc w:val="both"/>
      </w:pPr>
      <w:r>
        <w:rPr>
          <w:rFonts w:ascii="Garamond" w:cs="Garamond" w:eastAsia="Garamond" w:hAnsi="Garamond"/>
          <w:b/>
          <w:bCs/>
          <w:color w:val="1B3A6B"/>
          <w:sz w:val="22"/>
          <w:szCs w:val="22"/>
        </w:rPr>
        <w:t xml:space="preserve">18.  </w:t>
      </w:r>
      <w:r>
        <w:rPr>
          <w:rFonts w:ascii="Garamond" w:cs="Garamond" w:eastAsia="Garamond" w:hAnsi="Garamond"/>
          <w:color w:val="333333"/>
          <w:sz w:val="22"/>
          <w:szCs w:val="22"/>
        </w:rPr>
        <w:t xml:space="preserve">The Chamber is of the view that the threat or use of nuclear weapons would generally be contrary to the rules of international law applicable in armed conflict, and in particular the principles and rules of international humanitarian law as codified in the SWORD. The combination of the principles of distinction, proportionality, and environmental protection creates a strong presumption against the lawfulness of nuclear weapons use in virtually all foreseeable circumstances.</w:t>
      </w:r>
    </w:p>
    <w:p>
      <w:pPr>
        <w:spacing w:after="80" w:before="80" w:line="276"/>
        <w:ind w:left="720" w:hanging="360"/>
        <w:jc w:val="both"/>
      </w:pPr>
      <w:r>
        <w:rPr>
          <w:rFonts w:ascii="Garamond" w:cs="Garamond" w:eastAsia="Garamond" w:hAnsi="Garamond"/>
          <w:b/>
          <w:bCs/>
          <w:color w:val="1B3A6B"/>
          <w:sz w:val="22"/>
          <w:szCs w:val="22"/>
        </w:rPr>
        <w:t xml:space="preserve">19.  </w:t>
      </w:r>
      <w:r>
        <w:rPr>
          <w:rFonts w:ascii="Garamond" w:cs="Garamond" w:eastAsia="Garamond" w:hAnsi="Garamond"/>
          <w:color w:val="333333"/>
          <w:sz w:val="22"/>
          <w:szCs w:val="22"/>
        </w:rPr>
        <w:t xml:space="preserve">The Chamber reaches this conclusion on the basis that nuclear weapons possess characteristics — indiscriminate blast effects, thermal radiation, ionizing radiation, and long-term environmental contamination — that make it extraordinarily difficult to use them in a manner consistent with the requirements of the laws of armed conflict. The Chamber does not find it necessary to characterize nuclear weapons as inherently unlawful in every conceivable circumstance in order to reach this conclusion. It is sufficient to find that their use would in practice be very difficult to reconcile with the applicable legal framework.</w:t>
      </w:r>
    </w:p>
    <w:p>
      <w:pPr>
        <w:spacing w:after="80" w:before="80" w:line="276"/>
        <w:ind w:left="720" w:hanging="360"/>
        <w:jc w:val="both"/>
      </w:pPr>
      <w:r>
        <w:rPr>
          <w:rFonts w:ascii="Garamond" w:cs="Garamond" w:eastAsia="Garamond" w:hAnsi="Garamond"/>
          <w:b/>
          <w:bCs/>
          <w:color w:val="1B3A6B"/>
          <w:sz w:val="22"/>
          <w:szCs w:val="22"/>
        </w:rPr>
        <w:t xml:space="preserve">20.  </w:t>
      </w:r>
      <w:r>
        <w:rPr>
          <w:rFonts w:ascii="Garamond" w:cs="Garamond" w:eastAsia="Garamond" w:hAnsi="Garamond"/>
          <w:color w:val="333333"/>
          <w:sz w:val="22"/>
          <w:szCs w:val="22"/>
        </w:rPr>
        <w:t xml:space="preserve">This finding applies regardless of the yield of the weapon, the nature of the target, or the military context in which use is contemplated. The Chamber rejects the argument that a weapon designated as tactical rather than strategic is thereby exempt from the legal analysis applicable to nuclear weapons generally. The legal character of a weapon is determined by its effects, not by its designation.</w:t>
      </w:r>
    </w:p>
    <w:p>
      <w:pPr>
        <w:spacing w:after="80" w:before="280"/>
      </w:pPr>
      <w:r>
        <w:rPr>
          <w:rFonts w:ascii="Arial" w:cs="Arial" w:eastAsia="Arial" w:hAnsi="Arial"/>
          <w:b/>
          <w:bCs/>
          <w:color w:val="1B3A6B"/>
          <w:sz w:val="22"/>
          <w:szCs w:val="22"/>
        </w:rPr>
        <w:t xml:space="preserve">B. The Question of Extreme Self-Defence</w:t>
      </w:r>
    </w:p>
    <w:p>
      <w:pPr>
        <w:spacing w:after="80" w:before="80" w:line="276"/>
        <w:ind w:left="720" w:hanging="360"/>
        <w:jc w:val="both"/>
      </w:pPr>
      <w:r>
        <w:rPr>
          <w:rFonts w:ascii="Garamond" w:cs="Garamond" w:eastAsia="Garamond" w:hAnsi="Garamond"/>
          <w:b/>
          <w:bCs/>
          <w:color w:val="1B3A6B"/>
          <w:sz w:val="22"/>
          <w:szCs w:val="22"/>
        </w:rPr>
        <w:t xml:space="preserve">21.  </w:t>
      </w:r>
      <w:r>
        <w:rPr>
          <w:rFonts w:ascii="Garamond" w:cs="Garamond" w:eastAsia="Garamond" w:hAnsi="Garamond"/>
          <w:color w:val="333333"/>
          <w:sz w:val="22"/>
          <w:szCs w:val="22"/>
        </w:rPr>
        <w:t xml:space="preserve">The Chamber has considered with particular care whether there exists in international law a right to use nuclear weapons in an extreme circumstance of self-defence, in which the very survival of a state would be at stake. This question goes to the heart of the tension between the humanitarian law framework and the fundamental right of states to defend their existence.</w:t>
      </w:r>
    </w:p>
    <w:p>
      <w:pPr>
        <w:spacing w:after="80" w:before="80" w:line="276"/>
        <w:ind w:left="720" w:hanging="360"/>
        <w:jc w:val="both"/>
      </w:pPr>
      <w:r>
        <w:rPr>
          <w:rFonts w:ascii="Garamond" w:cs="Garamond" w:eastAsia="Garamond" w:hAnsi="Garamond"/>
          <w:b/>
          <w:bCs/>
          <w:color w:val="1B3A6B"/>
          <w:sz w:val="22"/>
          <w:szCs w:val="22"/>
        </w:rPr>
        <w:t xml:space="preserve">22.  </w:t>
      </w:r>
      <w:r>
        <w:rPr>
          <w:rFonts w:ascii="Garamond" w:cs="Garamond" w:eastAsia="Garamond" w:hAnsi="Garamond"/>
          <w:color w:val="333333"/>
          <w:sz w:val="22"/>
          <w:szCs w:val="22"/>
        </w:rPr>
        <w:t xml:space="preserve">The Chamber notes that no treaty provision expressly authorizes nuclear use in such circumstances. The Charter's self-defence provision does not specify permitted weapons, and the SWORD's prohibitions do not contain an explicit exception for existential threats. The MCWC contains a prohibition on use that applies including in self-defence, though the legal effect of reservations to that provision remains a matter of treaty interpretation.</w:t>
      </w:r>
    </w:p>
    <w:p>
      <w:pPr>
        <w:spacing w:after="80" w:before="80" w:line="276"/>
        <w:ind w:left="720" w:hanging="360"/>
        <w:jc w:val="both"/>
      </w:pPr>
      <w:r>
        <w:rPr>
          <w:rFonts w:ascii="Garamond" w:cs="Garamond" w:eastAsia="Garamond" w:hAnsi="Garamond"/>
          <w:b/>
          <w:bCs/>
          <w:color w:val="1B3A6B"/>
          <w:sz w:val="22"/>
          <w:szCs w:val="22"/>
        </w:rPr>
        <w:t xml:space="preserve">23.  </w:t>
      </w:r>
      <w:r>
        <w:rPr>
          <w:rFonts w:ascii="Garamond" w:cs="Garamond" w:eastAsia="Garamond" w:hAnsi="Garamond"/>
          <w:color w:val="333333"/>
          <w:sz w:val="22"/>
          <w:szCs w:val="22"/>
        </w:rPr>
        <w:t xml:space="preserve">The Chamber is not able, in light of the current state of international law, to conclude definitively that the use of nuclear weapons would be lawful or unlawful in an extreme circumstance of self-defence in which the survival of the state were at stake. The existing body of law does not clearly resolve this question in either direction. The principle of humanity and the requirements of the laws of armed conflict create a powerful presumption against lawfulness even in such circumstances; but the fundamental right of self-defence and the absence of an explicit prohibition covering this precise situation prevent the Chamber from reaching an unqualified conclusion.</w:t>
      </w:r>
    </w:p>
    <w:p>
      <w:pPr>
        <w:spacing w:after="80" w:before="80" w:line="276"/>
        <w:ind w:left="720" w:hanging="360"/>
        <w:jc w:val="both"/>
      </w:pPr>
      <w:r>
        <w:rPr>
          <w:rFonts w:ascii="Garamond" w:cs="Garamond" w:eastAsia="Garamond" w:hAnsi="Garamond"/>
          <w:b/>
          <w:bCs/>
          <w:color w:val="1B3A6B"/>
          <w:sz w:val="22"/>
          <w:szCs w:val="22"/>
        </w:rPr>
        <w:t xml:space="preserve">24.  </w:t>
      </w:r>
      <w:r>
        <w:rPr>
          <w:rFonts w:ascii="Garamond" w:cs="Garamond" w:eastAsia="Garamond" w:hAnsi="Garamond"/>
          <w:color w:val="333333"/>
          <w:sz w:val="22"/>
          <w:szCs w:val="22"/>
        </w:rPr>
        <w:t xml:space="preserve">The Chamber emphasizes that this inability to reach a definitive conclusion is narrow in scope. It applies only to the most extreme conceivable circumstance — existential threat to the survival of the state itself — and only in the absence of a clearly applicable treaty prohibition. It does not constitute a general authorization for nuclear use, nor does it diminish the force of the general finding in paragraph 18. In virtually all circumstances short of existential threat, the use of nuclear weapons would be contrary to applicable international law.</w:t>
      </w:r>
    </w:p>
    <w:p>
      <w:pPr>
        <w:spacing w:after="80" w:before="80" w:line="276"/>
        <w:ind w:left="720" w:hanging="360"/>
        <w:jc w:val="both"/>
      </w:pPr>
      <w:r>
        <w:rPr>
          <w:rFonts w:ascii="Garamond" w:cs="Garamond" w:eastAsia="Garamond" w:hAnsi="Garamond"/>
          <w:b/>
          <w:bCs/>
          <w:color w:val="1B3A6B"/>
          <w:sz w:val="22"/>
          <w:szCs w:val="22"/>
        </w:rPr>
        <w:t xml:space="preserve">25.  </w:t>
      </w:r>
      <w:r>
        <w:rPr>
          <w:rFonts w:ascii="Garamond" w:cs="Garamond" w:eastAsia="Garamond" w:hAnsi="Garamond"/>
          <w:color w:val="333333"/>
          <w:sz w:val="22"/>
          <w:szCs w:val="22"/>
        </w:rPr>
        <w:t xml:space="preserve">Furthermore, the Chamber finds that even in the extreme circumstance described above, any use of nuclear weapons would remain subject to the requirements of necessity and proportionality inherent in the right of self-defence, and to the non-derogable prohibitions of the SWORD, including the prohibition on causing widespread, long-term, and severe environmental damage under Article 22(3) of that instrument. The Chamber notes that Article 22(3) of the SWORD expressly states that the environmental protection prohibition is not subject to derogation on grounds of military necessity. The interaction between this non-derogable prohibition and any claimed right of nuclear self-defence is a matter of law that the Chamber leaves for resolution in light of the specific facts of any future case.</w:t>
      </w:r>
    </w:p>
    <w:p>
      <w:pPr>
        <w:spacing w:after="80" w:before="280"/>
      </w:pPr>
      <w:r>
        <w:rPr>
          <w:rFonts w:ascii="Arial" w:cs="Arial" w:eastAsia="Arial" w:hAnsi="Arial"/>
          <w:b/>
          <w:bCs/>
          <w:color w:val="1B3A6B"/>
          <w:sz w:val="22"/>
          <w:szCs w:val="22"/>
        </w:rPr>
        <w:t xml:space="preserve">C. The Obligation to Disarm</w:t>
      </w:r>
    </w:p>
    <w:p>
      <w:pPr>
        <w:spacing w:after="80" w:before="80" w:line="276"/>
        <w:ind w:left="720" w:hanging="360"/>
        <w:jc w:val="both"/>
      </w:pPr>
      <w:r>
        <w:rPr>
          <w:rFonts w:ascii="Garamond" w:cs="Garamond" w:eastAsia="Garamond" w:hAnsi="Garamond"/>
          <w:b/>
          <w:bCs/>
          <w:color w:val="1B3A6B"/>
          <w:sz w:val="22"/>
          <w:szCs w:val="22"/>
        </w:rPr>
        <w:t xml:space="preserve">26.  </w:t>
      </w:r>
      <w:r>
        <w:rPr>
          <w:rFonts w:ascii="Garamond" w:cs="Garamond" w:eastAsia="Garamond" w:hAnsi="Garamond"/>
          <w:color w:val="333333"/>
          <w:sz w:val="22"/>
          <w:szCs w:val="22"/>
        </w:rPr>
        <w:t xml:space="preserve">The Chamber finds that there exists in international law a general obligation to pursue in good faith and bring to a conclusion negotiations leading to nuclear disarmament in all its aspects under strict and effective international control. This obligation is erga omnes — it is owed to all states of Mir — and it applies to all states regardless of their current nuclear status.</w:t>
      </w:r>
    </w:p>
    <w:p>
      <w:pPr>
        <w:spacing w:after="80" w:before="80" w:line="276"/>
        <w:ind w:left="720" w:hanging="360"/>
        <w:jc w:val="both"/>
      </w:pPr>
      <w:r>
        <w:rPr>
          <w:rFonts w:ascii="Garamond" w:cs="Garamond" w:eastAsia="Garamond" w:hAnsi="Garamond"/>
          <w:b/>
          <w:bCs/>
          <w:color w:val="1B3A6B"/>
          <w:sz w:val="22"/>
          <w:szCs w:val="22"/>
        </w:rPr>
        <w:t xml:space="preserve">27.  </w:t>
      </w:r>
      <w:r>
        <w:rPr>
          <w:rFonts w:ascii="Garamond" w:cs="Garamond" w:eastAsia="Garamond" w:hAnsi="Garamond"/>
          <w:color w:val="333333"/>
          <w:sz w:val="22"/>
          <w:szCs w:val="22"/>
        </w:rPr>
        <w:t xml:space="preserve">This obligation does not by itself establish a timeline for disarmament or specify the legal consequences of non-compliance. It is an obligation of conduct rather than of result. However, a state that possesses nuclear weapons and fails to pursue disarmament in good faith is in breach of this obligation, and all other states have a legal interest in its compliance.</w:t>
      </w:r>
    </w:p>
    <w:p>
      <w:pPr>
        <w:spacing w:after="200" w:before="0"/>
      </w:pPr>
    </w:p>
    <w:p>
      <w:pPr>
        <w:spacing w:after="80" w:before="400"/>
        <w:jc w:val="center"/>
      </w:pPr>
      <w:r>
        <w:rPr>
          <w:rFonts w:ascii="Arial" w:cs="Arial" w:eastAsia="Arial" w:hAnsi="Arial"/>
          <w:b/>
          <w:bCs/>
          <w:caps/>
          <w:color w:val="1B3A6B"/>
          <w:sz w:val="26"/>
          <w:szCs w:val="26"/>
        </w:rPr>
        <w:t xml:space="preserve">IV. THE ADVISORY OPINION</w:t>
      </w:r>
    </w:p>
    <w:p>
      <w:pPr>
        <w:pBdr>
          <w:bottom w:val="single" w:color="1B3A6B" w:sz="6" w:space="1"/>
        </w:pBdr>
        <w:spacing w:after="160" w:before="40"/>
      </w:pPr>
    </w:p>
    <w:p>
      <w:pPr>
        <w:spacing w:after="80" w:before="80" w:line="276"/>
        <w:ind w:left="720" w:hanging="360"/>
        <w:jc w:val="both"/>
      </w:pPr>
      <w:r>
        <w:rPr>
          <w:rFonts w:ascii="Garamond" w:cs="Garamond" w:eastAsia="Garamond" w:hAnsi="Garamond"/>
          <w:b/>
          <w:bCs/>
          <w:color w:val="1B3A6B"/>
          <w:sz w:val="22"/>
          <w:szCs w:val="22"/>
        </w:rPr>
        <w:t xml:space="preserve">28.  </w:t>
      </w:r>
      <w:r>
        <w:rPr>
          <w:rFonts w:ascii="Garamond" w:cs="Garamond" w:eastAsia="Garamond" w:hAnsi="Garamond"/>
          <w:color w:val="333333"/>
          <w:sz w:val="22"/>
          <w:szCs w:val="22"/>
        </w:rPr>
        <w:t xml:space="preserve">For these reasons, the Advisory Chamber of the High Court of Mir is of the opinion:</w:t>
      </w:r>
    </w:p>
    <w:p>
      <w:pPr>
        <w:spacing w:after="60" w:before="0"/>
      </w:pPr>
    </w:p>
    <w:p>
      <w:pPr>
        <w:spacing w:after="60" w:before="100"/>
        <w:ind w:left="360"/>
      </w:pPr>
      <w:r>
        <w:rPr>
          <w:rFonts w:ascii="Arial" w:cs="Arial" w:eastAsia="Arial" w:hAnsi="Arial"/>
          <w:b/>
          <w:bCs/>
          <w:color w:val="1B3A6B"/>
          <w:sz w:val="22"/>
          <w:szCs w:val="22"/>
        </w:rPr>
        <w:t xml:space="preserve">ON THE FIRST QUESTION —</w:t>
      </w:r>
    </w:p>
    <w:p>
      <w:pPr>
        <w:pBdr>
          <w:left w:val="single" w:color="1B3A6B" w:sz="12" w:space="8"/>
        </w:pBdr>
        <w:spacing w:after="100" w:before="100" w:line="300"/>
        <w:ind w:left="720"/>
        <w:jc w:val="both"/>
      </w:pPr>
      <w:r>
        <w:rPr>
          <w:rFonts w:ascii="Garamond" w:cs="Garamond" w:eastAsia="Garamond" w:hAnsi="Garamond"/>
          <w:i/>
          <w:iCs/>
          <w:color w:val="333333"/>
          <w:sz w:val="22"/>
          <w:szCs w:val="22"/>
        </w:rPr>
        <w:t xml:space="preserve">There is in customary international law no specific authorization of the threat or use of nuclear weapons.</w:t>
      </w:r>
    </w:p>
    <w:p>
      <w:pPr>
        <w:spacing w:after="40" w:before="0"/>
      </w:pPr>
    </w:p>
    <w:p>
      <w:pPr>
        <w:spacing w:after="60" w:before="100"/>
        <w:ind w:left="360"/>
      </w:pPr>
      <w:r>
        <w:rPr>
          <w:rFonts w:ascii="Arial" w:cs="Arial" w:eastAsia="Arial" w:hAnsi="Arial"/>
          <w:b/>
          <w:bCs/>
          <w:color w:val="1B3A6B"/>
          <w:sz w:val="22"/>
          <w:szCs w:val="22"/>
        </w:rPr>
        <w:t xml:space="preserve">ON THE SECOND QUESTION —</w:t>
      </w:r>
    </w:p>
    <w:p>
      <w:pPr>
        <w:pBdr>
          <w:left w:val="single" w:color="1B3A6B" w:sz="12" w:space="8"/>
        </w:pBdr>
        <w:spacing w:after="100" w:before="100" w:line="300"/>
        <w:ind w:left="720"/>
        <w:jc w:val="both"/>
      </w:pPr>
      <w:r>
        <w:rPr>
          <w:rFonts w:ascii="Garamond" w:cs="Garamond" w:eastAsia="Garamond" w:hAnsi="Garamond"/>
          <w:i/>
          <w:iCs/>
          <w:color w:val="333333"/>
          <w:sz w:val="22"/>
          <w:szCs w:val="22"/>
        </w:rPr>
        <w:t xml:space="preserve">There is no comprehensive and universal prohibition on the threat or use of nuclear weapons as such under customary international law. For states party to the Mir Comprehensive Weapons Convention without reservation, a treaty prohibition on use exists. The legal effect of reservations to that prohibition is a matter of treaty interpretation not resolved by this opinion.</w:t>
      </w:r>
    </w:p>
    <w:p>
      <w:pPr>
        <w:spacing w:after="40" w:before="0"/>
      </w:pPr>
    </w:p>
    <w:p>
      <w:pPr>
        <w:spacing w:after="60" w:before="100"/>
        <w:ind w:left="360"/>
      </w:pPr>
      <w:r>
        <w:rPr>
          <w:rFonts w:ascii="Arial" w:cs="Arial" w:eastAsia="Arial" w:hAnsi="Arial"/>
          <w:b/>
          <w:bCs/>
          <w:color w:val="1B3A6B"/>
          <w:sz w:val="22"/>
          <w:szCs w:val="22"/>
        </w:rPr>
        <w:t xml:space="preserve">ON THE THIRD QUESTION —</w:t>
      </w:r>
    </w:p>
    <w:p>
      <w:pPr>
        <w:pBdr>
          <w:left w:val="single" w:color="1B3A6B" w:sz="12" w:space="8"/>
        </w:pBdr>
        <w:spacing w:after="100" w:before="100" w:line="300"/>
        <w:ind w:left="720"/>
        <w:jc w:val="both"/>
      </w:pPr>
      <w:r>
        <w:rPr>
          <w:rFonts w:ascii="Garamond" w:cs="Garamond" w:eastAsia="Garamond" w:hAnsi="Garamond"/>
          <w:i/>
          <w:iCs/>
          <w:color w:val="333333"/>
          <w:sz w:val="22"/>
          <w:szCs w:val="22"/>
        </w:rPr>
        <w:t xml:space="preserve">The threat or use of nuclear weapons would generally be contrary to the rules of international law applicable in armed conflict, and in particular the principles and rules of international humanitarian law. The Chamber cannot conclude definitively whether the threat or use of nuclear weapons would be lawful or unlawful in an extreme circumstance of self-defence in which the very survival of a state would be at stake, given the current state of international law.</w:t>
      </w:r>
    </w:p>
    <w:p>
      <w:pPr>
        <w:spacing w:after="40" w:before="0"/>
      </w:pPr>
    </w:p>
    <w:p>
      <w:pPr>
        <w:spacing w:after="60" w:before="100"/>
        <w:ind w:left="360"/>
      </w:pPr>
      <w:r>
        <w:rPr>
          <w:rFonts w:ascii="Arial" w:cs="Arial" w:eastAsia="Arial" w:hAnsi="Arial"/>
          <w:b/>
          <w:bCs/>
          <w:color w:val="1B3A6B"/>
          <w:sz w:val="22"/>
          <w:szCs w:val="22"/>
        </w:rPr>
        <w:t xml:space="preserve">ON THE FOURTH QUESTION —</w:t>
      </w:r>
    </w:p>
    <w:p>
      <w:pPr>
        <w:pBdr>
          <w:left w:val="single" w:color="1B3A6B" w:sz="12" w:space="8"/>
        </w:pBdr>
        <w:spacing w:after="100" w:before="100" w:line="300"/>
        <w:ind w:left="720"/>
        <w:jc w:val="both"/>
      </w:pPr>
      <w:r>
        <w:rPr>
          <w:rFonts w:ascii="Garamond" w:cs="Garamond" w:eastAsia="Garamond" w:hAnsi="Garamond"/>
          <w:i/>
          <w:iCs/>
          <w:color w:val="333333"/>
          <w:sz w:val="22"/>
          <w:szCs w:val="22"/>
        </w:rPr>
        <w:t xml:space="preserve">There exists an obligation to pursue in good faith and bring to a conclusion negotiations leading to nuclear disarmament in all its aspects under strict and effective international control. This obligation applies to all states of Mir regardless of their current nuclear status.</w:t>
      </w:r>
    </w:p>
    <w:p>
      <w:pPr>
        <w:spacing w:after="120" w:before="0"/>
      </w:pPr>
    </w:p>
    <w:p>
      <w:pPr>
        <w:spacing w:after="80" w:before="80" w:line="276"/>
        <w:ind w:left="720" w:hanging="360"/>
        <w:jc w:val="both"/>
      </w:pPr>
      <w:r>
        <w:rPr>
          <w:rFonts w:ascii="Garamond" w:cs="Garamond" w:eastAsia="Garamond" w:hAnsi="Garamond"/>
          <w:b/>
          <w:bCs/>
          <w:color w:val="1B3A6B"/>
          <w:sz w:val="22"/>
          <w:szCs w:val="22"/>
        </w:rPr>
        <w:t xml:space="preserve">29.  </w:t>
      </w:r>
      <w:r>
        <w:rPr>
          <w:rFonts w:ascii="Garamond" w:cs="Garamond" w:eastAsia="Garamond" w:hAnsi="Garamond"/>
          <w:color w:val="333333"/>
          <w:sz w:val="22"/>
          <w:szCs w:val="22"/>
        </w:rPr>
        <w:t xml:space="preserve">This opinion was adopted by a vote of seven in favour and two against. The two dissenting judges have appended declarations to this opinion.</w:t>
      </w:r>
    </w:p>
    <w:p>
      <w:pPr>
        <w:spacing w:after="200" w:before="0"/>
      </w:pPr>
    </w:p>
    <w:p>
      <w:pPr>
        <w:spacing w:after="80" w:before="400"/>
        <w:jc w:val="center"/>
      </w:pPr>
      <w:r>
        <w:rPr>
          <w:rFonts w:ascii="Arial" w:cs="Arial" w:eastAsia="Arial" w:hAnsi="Arial"/>
          <w:b/>
          <w:bCs/>
          <w:caps/>
          <w:color w:val="1B3A6B"/>
          <w:sz w:val="26"/>
          <w:szCs w:val="26"/>
        </w:rPr>
        <w:t xml:space="preserve">V. SEPARATE DECLARATIONS</w:t>
      </w:r>
    </w:p>
    <w:p>
      <w:pPr>
        <w:pBdr>
          <w:bottom w:val="single" w:color="1B3A6B" w:sz="6" w:space="1"/>
        </w:pBdr>
        <w:spacing w:after="160" w:before="40"/>
      </w:pPr>
    </w:p>
    <w:p>
      <w:pPr>
        <w:spacing w:after="80" w:before="280"/>
      </w:pPr>
      <w:r>
        <w:rPr>
          <w:rFonts w:ascii="Arial" w:cs="Arial" w:eastAsia="Arial" w:hAnsi="Arial"/>
          <w:b/>
          <w:bCs/>
          <w:color w:val="1B3A6B"/>
          <w:sz w:val="22"/>
          <w:szCs w:val="22"/>
        </w:rPr>
        <w:t xml:space="preserve">Declaration of Judge Prela Oshan (Dissenting)</w:t>
      </w:r>
    </w:p>
    <w:p>
      <w:pPr>
        <w:spacing w:after="40" w:before="0"/>
      </w:pPr>
    </w:p>
    <w:p>
      <w:pPr>
        <w:spacing w:after="80" w:before="80" w:line="276"/>
        <w:ind w:left="360"/>
        <w:jc w:val="both"/>
      </w:pPr>
      <w:r>
        <w:rPr>
          <w:rFonts w:ascii="Garamond" w:cs="Garamond" w:eastAsia="Garamond" w:hAnsi="Garamond"/>
          <w:i/>
          <w:iCs/>
          <w:color w:val="666666"/>
          <w:sz w:val="21"/>
          <w:szCs w:val="21"/>
        </w:rPr>
        <w:t xml:space="preserve">I dissent from the majority's inability to reach a definitive conclusion on the third question. In my view, the non-derogable prohibition on causing widespread, long-term, and severe environmental damage established in Article 22(3) of the SWORD is sufficient by itself to render nuclear weapons use unlawful in all circumstances without exception. A prohibition that is expressly stated to be non-derogable on grounds of military necessity cannot be suspended by an appeal to state survival, which is itself a form of military necessity however described. The majority's acknowledgment that Article 22(3) of the SWORD applies even in extreme self-defence, combined with its finding that nuclear use would cause environmental damage meeting the Article 22 threshold, should have led to a categorical finding of unlawfulness. I would have answered the third question without reservation.</w:t>
      </w:r>
    </w:p>
    <w:p>
      <w:pPr>
        <w:spacing w:after="120" w:before="0"/>
      </w:pPr>
    </w:p>
    <w:p>
      <w:pPr>
        <w:spacing w:after="80" w:before="280"/>
      </w:pPr>
      <w:r>
        <w:rPr>
          <w:rFonts w:ascii="Arial" w:cs="Arial" w:eastAsia="Arial" w:hAnsi="Arial"/>
          <w:b/>
          <w:bCs/>
          <w:color w:val="1B3A6B"/>
          <w:sz w:val="22"/>
          <w:szCs w:val="22"/>
        </w:rPr>
        <w:t xml:space="preserve">Declaration of Judge Uko Fenn (Dissenting)</w:t>
      </w:r>
    </w:p>
    <w:p>
      <w:pPr>
        <w:spacing w:after="40" w:before="0"/>
      </w:pPr>
    </w:p>
    <w:p>
      <w:pPr>
        <w:spacing w:after="80" w:before="80" w:line="276"/>
        <w:ind w:left="360"/>
        <w:jc w:val="both"/>
      </w:pPr>
      <w:r>
        <w:rPr>
          <w:rFonts w:ascii="Garamond" w:cs="Garamond" w:eastAsia="Garamond" w:hAnsi="Garamond"/>
          <w:i/>
          <w:iCs/>
          <w:color w:val="666666"/>
          <w:sz w:val="21"/>
          <w:szCs w:val="21"/>
        </w:rPr>
        <w:t xml:space="preserve">I dissent on different grounds. In my view, the majority has understated the degree of legal uncertainty surrounding nuclear weapons under customary international law. The existing rules of armed conflict were developed with conventional weapons in mind, and their application to nuclear weapons involves an extension that states have not universally accepted. Rather than finding that nuclear use 'would generally' violate the laws of armed conflict, I would have limited the opinion to the finding that serious and unresolved questions exist, and would have urged the UMGA to seek the development of a specific treaty regime addressing nuclear weapons use directly. The majority's general finding, while carefully qualified, risks overstating the clarity of existing law in a manner that may be invoked selectively by parties to future disputes.</w:t>
      </w:r>
    </w:p>
    <w:p>
      <w:pPr>
        <w:spacing w:after="200" w:before="0"/>
      </w:pPr>
    </w:p>
    <w:p>
      <w:pPr>
        <w:spacing w:after="80" w:before="400"/>
        <w:jc w:val="center"/>
      </w:pPr>
      <w:r>
        <w:rPr>
          <w:rFonts w:ascii="Arial" w:cs="Arial" w:eastAsia="Arial" w:hAnsi="Arial"/>
          <w:b/>
          <w:bCs/>
          <w:caps/>
          <w:color w:val="1B3A6B"/>
          <w:sz w:val="26"/>
          <w:szCs w:val="26"/>
        </w:rPr>
        <w:t xml:space="preserve">DONE AND AUTHENTICATED</w:t>
      </w:r>
    </w:p>
    <w:p>
      <w:pPr>
        <w:pBdr>
          <w:bottom w:val="single" w:color="C5922A" w:sz="6" w:space="1"/>
        </w:pBdr>
        <w:spacing w:after="120" w:before="40"/>
      </w:pPr>
    </w:p>
    <w:p>
      <w:pPr>
        <w:spacing w:after="60" w:before="60" w:line="276"/>
        <w:jc w:val="both"/>
      </w:pPr>
      <w:r>
        <w:rPr>
          <w:rFonts w:ascii="Garamond" w:cs="Garamond" w:eastAsia="Garamond" w:hAnsi="Garamond"/>
          <w:color w:val="333333"/>
          <w:sz w:val="22"/>
          <w:szCs w:val="22"/>
        </w:rPr>
        <w:t xml:space="preserve">Done at the seat of the High Court of Mir, in accordance with the Statute of the Court.</w:t>
      </w:r>
    </w:p>
    <w:p>
      <w:pPr>
        <w:spacing w:after="160" w:before="0"/>
      </w:pPr>
    </w:p>
    <w:p>
      <w:pPr>
        <w:spacing w:after="20" w:before="120"/>
      </w:pPr>
      <w:r>
        <w:rPr>
          <w:rFonts w:ascii="Arial" w:cs="Arial" w:eastAsia="Arial" w:hAnsi="Arial"/>
          <w:b/>
          <w:bCs/>
          <w:color w:val="1B3A6B"/>
          <w:sz w:val="22"/>
          <w:szCs w:val="22"/>
        </w:rPr>
        <w:t xml:space="preserve">President Elaryn Sovath</w:t>
      </w:r>
    </w:p>
    <w:p>
      <w:pPr>
        <w:spacing w:after="80" w:before="0"/>
      </w:pPr>
      <w:r>
        <w:rPr>
          <w:rFonts w:ascii="Garamond" w:cs="Garamond" w:eastAsia="Garamond" w:hAnsi="Garamond"/>
          <w:i/>
          <w:iCs/>
          <w:color w:val="666666"/>
          <w:sz w:val="20"/>
          <w:szCs w:val="20"/>
        </w:rPr>
        <w:t xml:space="preserve">President of the Advisory Chamber</w:t>
      </w:r>
    </w:p>
    <w:p>
      <w:pPr>
        <w:spacing w:after="60" w:before="0"/>
      </w:pPr>
    </w:p>
    <w:p>
      <w:pPr>
        <w:spacing w:after="20" w:before="120"/>
      </w:pPr>
      <w:r>
        <w:rPr>
          <w:rFonts w:ascii="Arial" w:cs="Arial" w:eastAsia="Arial" w:hAnsi="Arial"/>
          <w:b/>
          <w:bCs/>
          <w:color w:val="1B3A6B"/>
          <w:sz w:val="22"/>
          <w:szCs w:val="22"/>
        </w:rPr>
        <w:t xml:space="preserve">Registrar Malen Coris</w:t>
      </w:r>
    </w:p>
    <w:p>
      <w:pPr>
        <w:spacing w:after="80" w:before="0"/>
      </w:pPr>
      <w:r>
        <w:rPr>
          <w:rFonts w:ascii="Garamond" w:cs="Garamond" w:eastAsia="Garamond" w:hAnsi="Garamond"/>
          <w:i/>
          <w:iCs/>
          <w:color w:val="666666"/>
          <w:sz w:val="20"/>
          <w:szCs w:val="20"/>
        </w:rPr>
        <w:t xml:space="preserve">Registrar of the High Court of Mir</w:t>
      </w:r>
    </w:p>
    <w:p>
      <w:pPr>
        <w:spacing w:after="160" w:before="0"/>
      </w:pPr>
    </w:p>
    <w:p>
      <w:pPr>
        <w:pBdr>
          <w:top w:val="single" w:color="1B3A6B" w:sz="4" w:space="4"/>
        </w:pBdr>
        <w:spacing w:after="40" w:before="80"/>
      </w:pPr>
      <w:r>
        <w:rPr>
          <w:rFonts w:ascii="Garamond" w:cs="Garamond" w:eastAsia="Garamond" w:hAnsi="Garamond"/>
          <w:i/>
          <w:iCs/>
          <w:color w:val="666666"/>
          <w:sz w:val="20"/>
          <w:szCs w:val="20"/>
        </w:rPr>
        <w:t xml:space="preserve">Note on citation: This advisory opinion is cited as GLOW, HCM/ADV/001. It is not binding on states or on any Division of the High Court of Mir, but constitutes an authoritative statement of the law by the Court's Advisory Chamber and shall be taken into account by all Divisions in proceedings before them. Parties to proceedings before the Court may rely on this opinion as persuasive authority.</w:t>
      </w:r>
    </w:p>
    <w:sectPr>
      <w:headerReference w:type="default" r:id="rId7"/>
      <w:footerReference w:type="default" r:id="rId8"/>
      <w:pgSz w:w="12240" w:h="15840" w:orient="portrait"/>
      <w:pgMar w:top="1440" w:right="1260" w:bottom="144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922A" w:sz="4" w:space="4"/>
      </w:pBdr>
      <w:tabs>
        <w:tab w:val="right" w:pos="9360"/>
      </w:tabs>
      <w:spacing w:before="80"/>
    </w:pPr>
    <w:r>
      <w:rPr>
        <w:rFonts w:ascii="Arial" w:cs="Arial" w:eastAsia="Arial" w:hAnsi="Arial"/>
        <w:color w:val="666666"/>
        <w:sz w:val="16"/>
        <w:szCs w:val="16"/>
      </w:rPr>
      <w:t xml:space="preserve">High Court of Mir  |  Advisory Chamber  |  GLOW  |  Advisory Opinion</w:t>
    </w:r>
    <w:r>
      <w:t xml:space="preserve">	</w:t>
    </w:r>
    <w:fldSimple w:instr="[object Objec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5922A" w:sz="4" w:space="4"/>
      </w:pBdr>
      <w:tabs>
        <w:tab w:val="right" w:pos="9360"/>
      </w:tabs>
      <w:spacing w:after="80"/>
    </w:pPr>
    <w:r>
      <w:rPr>
        <w:rFonts w:ascii="Arial" w:cs="Arial" w:eastAsia="Arial" w:hAnsi="Arial"/>
        <w:b/>
        <w:bCs/>
        <w:color w:val="1B3A6B"/>
        <w:sz w:val="16"/>
        <w:szCs w:val="16"/>
      </w:rPr>
      <w:t xml:space="preserve">MIR GUIDELINES ON THE LEGALITY OF WEAPONS (GLOW)</w:t>
    </w:r>
    <w:r>
      <w:t xml:space="preserve">	</w:t>
    </w:r>
    <w:r>
      <w:rPr>
        <w:rFonts w:ascii="Arial" w:cs="Arial" w:eastAsia="Arial" w:hAnsi="Arial"/>
        <w:color w:val="666666"/>
        <w:sz w:val="16"/>
        <w:szCs w:val="16"/>
      </w:rPr>
      <w:t xml:space="preserve">HCM/ADV/001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color w:val="3333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Arial" w:cs="Arial" w:eastAsia="Arial" w:hAnsi="Arial"/>
      <w:b/>
      <w:bCs/>
      <w:color w:val="1B3A6B"/>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2026-05-24T05:09:51.195Z</dcterms:created>
  <dcterms:modified xsi:type="dcterms:W3CDTF">2026-05-24T05:09:51.211Z</dcterms:modified>
</cp:coreProperties>
</file>

<file path=docProps/custom.xml><?xml version="1.0" encoding="utf-8"?>
<Properties xmlns="http://schemas.openxmlformats.org/officeDocument/2006/custom-properties" xmlns:vt="http://schemas.openxmlformats.org/officeDocument/2006/docPropsVTypes"/>
</file>