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28"/>
          <w:szCs w:val="28"/>
        </w:rPr>
        <w:t xml:space="preserve">HIGH COURT OF MIR</w:t>
      </w:r>
    </w:p>
    <w:p>
      <w:pPr>
        <w:spacing w:after="200"/>
        <w:jc w:val="center"/>
      </w:pPr>
      <w:r>
        <w:rPr>
          <w:b/>
          <w:bCs/>
          <w:sz w:val="22"/>
          <w:szCs w:val="22"/>
        </w:rPr>
        <w:t xml:space="preserve">DIVISION I — INTERNATIONAL CRIMINAL CHAMBER</w:t>
      </w:r>
    </w:p>
    <w:p>
      <w:pPr>
        <w:spacing w:after="20"/>
        <w:jc w:val="center"/>
      </w:pPr>
      <w:r>
        <w:rPr>
          <w:b/>
          <w:bCs/>
          <w:sz w:val="26"/>
          <w:szCs w:val="26"/>
        </w:rPr>
        <w:t xml:space="preserve">OFFICIAL RULES FOR DIVISION I</w:t>
      </w:r>
    </w:p>
    <w:p>
      <w:pPr>
        <w:spacing w:after="40"/>
        <w:jc w:val="center"/>
      </w:pPr>
      <w:r>
        <w:rPr>
          <w:b/>
          <w:bCs/>
          <w:sz w:val="26"/>
          <w:szCs w:val="26"/>
        </w:rPr>
        <w:t xml:space="preserve">ENFORCEMENT AND REGULATION</w:t>
      </w:r>
    </w:p>
    <w:p>
      <w:pPr>
        <w:spacing w:after="200"/>
        <w:jc w:val="center"/>
      </w:pPr>
      <w:r>
        <w:rPr>
          <w:b/>
          <w:bCs/>
          <w:sz w:val="24"/>
          <w:szCs w:val="24"/>
        </w:rPr>
        <w:t xml:space="preserve">( ORDER )</w:t>
      </w:r>
    </w:p>
    <w:p>
      <w:pPr>
        <w:spacing w:after="20"/>
        <w:jc w:val="center"/>
      </w:pPr>
      <w:r>
        <w:rPr>
          <w:i/>
          <w:iCs/>
          <w:sz w:val="21"/>
          <w:szCs w:val="21"/>
        </w:rPr>
        <w:t xml:space="preserve">Rules of Procedure and Evidence</w:t>
      </w:r>
    </w:p>
    <w:p>
      <w:pPr>
        <w:spacing w:after="20"/>
        <w:jc w:val="center"/>
      </w:pPr>
      <w:r>
        <w:rPr>
          <w:i/>
          <w:iCs/>
          <w:sz w:val="21"/>
          <w:szCs w:val="21"/>
        </w:rPr>
        <w:t xml:space="preserve">Adopted by the Full Bench of the High Court of Mir</w:t>
      </w:r>
    </w:p>
    <w:p>
      <w:pPr>
        <w:spacing w:after="300"/>
        <w:jc w:val="center"/>
      </w:pPr>
      <w:r>
        <w:rPr>
          <w:i/>
          <w:iCs/>
          <w:sz w:val="20"/>
          <w:szCs w:val="20"/>
        </w:rPr>
        <w:t xml:space="preserve">Reference No. HCM/DIV-I/ORDER/001</w:t>
      </w:r>
    </w:p>
    <w:p>
      <w:pPr>
        <w:spacing w:after="100"/>
      </w:pPr>
      <w:r>
        <w:rPr>
          <w:b/>
          <w:bCs/>
          <w:sz w:val="20"/>
          <w:szCs w:val="20"/>
        </w:rPr>
        <w:t xml:space="preserve">PREFATORY NOTE</w:t>
      </w:r>
    </w:p>
    <w:p>
      <w:pPr>
        <w:spacing w:after="200" w:line="300"/>
        <w:jc w:val="both"/>
      </w:pPr>
      <w:r>
        <w:rPr>
          <w:i/>
          <w:iCs/>
          <w:color w:val="4A4A4A"/>
        </w:rPr>
        <w:t xml:space="preserve">The Official Rules for Division I Enforcement and Regulation (ORDER) govern all proceedings before the International Criminal Chamber of the High Court of Mir. They are adopted pursuant to Article 2(3) of the Statute of the High Court of Mir, which provides that each Division shall operate pursuant to its own rules of procedure consistent with the Statute. The ORDER shall be read alongside the Statute; where the ORDER is silent, the Statute governs. Where the ORDER and the Statute conflict, the Statute prevails. The ORDER is organized to follow the five-week structure of proceedings before Division I, with each Part addressing the activities, submissions, and decisions that occur during each week of trial.</w:t>
      </w:r>
    </w:p>
    <w:p>
      <w:pPr>
        <w:pBdr>
          <w:bottom w:val="single" w:color="1B3A6B" w:sz="8" w:space="6"/>
        </w:pBdr>
        <w:spacing w:after="160" w:before="360"/>
      </w:pPr>
      <w:r>
        <w:rPr>
          <w:b/>
          <w:bCs/>
          <w:color w:val="1B3A6B"/>
          <w:sz w:val="24"/>
          <w:szCs w:val="24"/>
        </w:rPr>
        <w:t xml:space="preserve">PART I — GENERAL PROVISIONS</w:t>
      </w:r>
    </w:p>
    <w:p>
      <w:pPr>
        <w:spacing w:after="100" w:before="240"/>
      </w:pPr>
      <w:r>
        <w:rPr>
          <w:b/>
          <w:bCs/>
          <w:sz w:val="22"/>
          <w:szCs w:val="22"/>
        </w:rPr>
        <w:t xml:space="preserve">Rule 1</w:t>
      </w:r>
      <w:r>
        <w:rPr>
          <w:b/>
          <w:bCs/>
          <w:sz w:val="22"/>
          <w:szCs w:val="22"/>
        </w:rPr>
        <w:t xml:space="preserve"> — Purpose and Scope</w:t>
      </w:r>
    </w:p>
    <w:p>
      <w:pPr>
        <w:spacing w:after="120" w:line="300"/>
        <w:ind w:left="300"/>
        <w:jc w:val="both"/>
      </w:pPr>
      <w:r>
        <w:rPr>
          <w:b/>
          <w:bCs/>
        </w:rPr>
        <w:t xml:space="preserve">1. </w:t>
      </w:r>
      <w:r>
        <w:t xml:space="preserve">The ORDER governs all proceedings before Division I of the High Court of Mir, including pre-trial proceedings, trial proceedings, and post-trial matters. It applies to all parties, participants, and officers of the Chamber.</w:t>
      </w:r>
    </w:p>
    <w:p>
      <w:pPr>
        <w:spacing w:after="120" w:line="300"/>
        <w:ind w:left="300"/>
        <w:jc w:val="both"/>
      </w:pPr>
      <w:r>
        <w:rPr>
          <w:b/>
          <w:bCs/>
        </w:rPr>
        <w:t xml:space="preserve">2. </w:t>
      </w:r>
      <w:r>
        <w:t xml:space="preserve">The ORDER shall be interpreted in a manner consistent with the Statute of the High Court of Mir and applicable international law, and in a way that gives effect to the rights of the accused, the interests of victims, and the integrity of the proceedings.</w:t>
      </w:r>
    </w:p>
    <w:p>
      <w:pPr>
        <w:spacing w:after="120" w:line="300"/>
        <w:ind w:left="300"/>
        <w:jc w:val="both"/>
      </w:pPr>
      <w:r>
        <w:rPr>
          <w:b/>
          <w:bCs/>
        </w:rPr>
        <w:t xml:space="preserve">3. </w:t>
      </w:r>
      <w:r>
        <w:t xml:space="preserve">Where a procedural question arises that is not addressed by the ORDER or the Statute, the Chamber shall apply the principle that best serves the fair and expeditious conduct of the proceedings.</w:t>
      </w:r>
    </w:p>
    <w:p>
      <w:pPr>
        <w:spacing w:after="100" w:before="240"/>
      </w:pPr>
      <w:r>
        <w:rPr>
          <w:b/>
          <w:bCs/>
          <w:sz w:val="22"/>
          <w:szCs w:val="22"/>
        </w:rPr>
        <w:t xml:space="preserve">Rule 2</w:t>
      </w:r>
      <w:r>
        <w:rPr>
          <w:b/>
          <w:bCs/>
          <w:sz w:val="22"/>
          <w:szCs w:val="22"/>
        </w:rPr>
        <w:t xml:space="preserve"> — Parties and Participants</w:t>
      </w:r>
    </w:p>
    <w:p>
      <w:pPr>
        <w:spacing w:after="120" w:line="300"/>
        <w:ind w:left="300"/>
        <w:jc w:val="both"/>
      </w:pPr>
      <w:r>
        <w:rPr>
          <w:b/>
          <w:bCs/>
        </w:rPr>
        <w:t xml:space="preserve">1. </w:t>
      </w:r>
      <w:r>
        <w:t xml:space="preserve">The following are parties to proceedings before Division I:</w:t>
      </w:r>
    </w:p>
    <w:p>
      <w:pPr>
        <w:spacing w:after="100" w:line="300"/>
        <w:ind w:left="600" w:hanging="300"/>
        <w:jc w:val="both"/>
      </w:pPr>
      <w:r>
        <w:rPr>
          <w:b/>
          <w:bCs/>
        </w:rPr>
        <w:t xml:space="preserve">(a) </w:t>
      </w:r>
      <w:r>
        <w:t xml:space="preserve">The Office of the Prosecutor (OTP), represented by four Count Counsel, each independently responsible for one of the four counts charged in Indictment No. ICT-MIR-001;</w:t>
      </w:r>
    </w:p>
    <w:p>
      <w:pPr>
        <w:spacing w:after="100" w:line="300"/>
        <w:ind w:left="600" w:hanging="300"/>
        <w:jc w:val="both"/>
      </w:pPr>
      <w:r>
        <w:rPr>
          <w:b/>
          <w:bCs/>
        </w:rPr>
        <w:t xml:space="preserve">(b) </w:t>
      </w:r>
      <w:r>
        <w:t xml:space="preserve">The Defence for Aldric Voss, represented by four Count Counsel, each independently responsible for the defence of Count 1, 2, 3, or 4 respectively as against the accused Voss;</w:t>
      </w:r>
    </w:p>
    <w:p>
      <w:pPr>
        <w:spacing w:after="100" w:line="300"/>
        <w:ind w:left="600" w:hanging="300"/>
        <w:jc w:val="both"/>
      </w:pPr>
      <w:r>
        <w:rPr>
          <w:b/>
          <w:bCs/>
        </w:rPr>
        <w:t xml:space="preserve">(c) </w:t>
      </w:r>
      <w:r>
        <w:t xml:space="preserve">The Defence for General Kael Dravic, represented by four Count Counsel, each independently responsible for the defence of Count 1, 2, 3, or 4 respectively as against the accused Dravic;</w:t>
      </w:r>
    </w:p>
    <w:p>
      <w:pPr>
        <w:spacing w:after="100" w:line="300"/>
        <w:ind w:left="600" w:hanging="300"/>
        <w:jc w:val="both"/>
      </w:pPr>
      <w:r>
        <w:rPr>
          <w:b/>
          <w:bCs/>
        </w:rPr>
        <w:t xml:space="preserve">(d) </w:t>
      </w:r>
      <w:r>
        <w:t xml:space="preserve">Victims, Witnesses, and Reparations (VWR), represented by Lead Victims' Counsel, Reparations Counsel, Displacement and Return Counsel, and Witness Counsel, who participate in proceedings to the extent provided in the ORDER.</w:t>
      </w:r>
    </w:p>
    <w:p>
      <w:pPr>
        <w:spacing w:after="120" w:line="300"/>
        <w:ind w:left="300"/>
        <w:jc w:val="both"/>
      </w:pPr>
      <w:r>
        <w:rPr>
          <w:b/>
          <w:bCs/>
        </w:rPr>
        <w:t xml:space="preserve">2. </w:t>
      </w:r>
      <w:r>
        <w:t xml:space="preserve">The two Defence teams described in paragraph 1(b) and 1(c) are independent of one another. Neither Defence team represents the other accused, and each may adopt a defence theory inconsistent with that of the other.</w:t>
      </w:r>
    </w:p>
    <w:p>
      <w:pPr>
        <w:spacing w:after="120" w:line="300"/>
        <w:ind w:left="300"/>
        <w:jc w:val="both"/>
      </w:pPr>
      <w:r>
        <w:rPr>
          <w:b/>
          <w:bCs/>
        </w:rPr>
        <w:t xml:space="preserve">3. </w:t>
      </w:r>
      <w:r>
        <w:t xml:space="preserve">The following are participants in proceedings who are not parties:</w:t>
      </w:r>
    </w:p>
    <w:p>
      <w:pPr>
        <w:spacing w:after="100" w:line="300"/>
        <w:ind w:left="600" w:hanging="300"/>
        <w:jc w:val="both"/>
      </w:pPr>
      <w:r>
        <w:rPr>
          <w:b/>
          <w:bCs/>
        </w:rPr>
        <w:t xml:space="preserve">(a) </w:t>
      </w:r>
      <w:r>
        <w:t xml:space="preserve">The Bench, comprising the Presiding Judge and two Associate Judges, who conduct and decide the proceedings;</w:t>
      </w:r>
    </w:p>
    <w:p>
      <w:pPr>
        <w:spacing w:after="100" w:line="300"/>
        <w:ind w:left="600" w:hanging="300"/>
        <w:jc w:val="both"/>
      </w:pPr>
      <w:r>
        <w:rPr>
          <w:b/>
          <w:bCs/>
        </w:rPr>
        <w:t xml:space="preserve">(b) </w:t>
      </w:r>
      <w:r>
        <w:t xml:space="preserve">The Legal Attachés of each state delegation, who monitor proceedings and may file observations in accordance with Rule 8;</w:t>
      </w:r>
    </w:p>
    <w:p>
      <w:pPr>
        <w:spacing w:after="100" w:line="300"/>
        <w:ind w:left="600" w:hanging="300"/>
        <w:jc w:val="both"/>
      </w:pPr>
      <w:r>
        <w:rPr>
          <w:b/>
          <w:bCs/>
        </w:rPr>
        <w:t xml:space="preserve">(c) </w:t>
      </w:r>
      <w:r>
        <w:t xml:space="preserve">Amicus Curiae, comprising the Nuclear Weapons Brief, the Command Responsibility Brief, and the Jurisdiction and Aggression Brief, who may file briefs in accordance with Rule 9;</w:t>
      </w:r>
    </w:p>
    <w:p>
      <w:pPr>
        <w:spacing w:after="100" w:line="300"/>
        <w:ind w:left="600" w:hanging="300"/>
        <w:jc w:val="both"/>
      </w:pPr>
      <w:r>
        <w:rPr>
          <w:b/>
          <w:bCs/>
        </w:rPr>
        <w:t xml:space="preserve">(d) </w:t>
      </w:r>
      <w:r>
        <w:t xml:space="preserve">Political Observers of each state delegation, who observe proceedings and report to their state cabinet;</w:t>
      </w:r>
    </w:p>
    <w:p>
      <w:pPr>
        <w:spacing w:after="100" w:line="300"/>
        <w:ind w:left="600" w:hanging="300"/>
        <w:jc w:val="both"/>
      </w:pPr>
      <w:r>
        <w:rPr>
          <w:b/>
          <w:bCs/>
        </w:rPr>
        <w:t xml:space="preserve">(e) </w:t>
      </w:r>
      <w:r>
        <w:t xml:space="preserve">Analytical roles, comprising the Sovereignty and Jurisdiction Analyst, the Historical and Contextual Analyst, and the Norm and Justice Analyst, who contribute independent analysis to the public record in accordance with Rule 10.</w:t>
      </w:r>
    </w:p>
    <w:p>
      <w:pPr>
        <w:spacing w:after="120" w:line="300"/>
        <w:ind w:left="300"/>
        <w:jc w:val="both"/>
      </w:pPr>
      <w:r>
        <w:rPr>
          <w:b/>
          <w:bCs/>
        </w:rPr>
        <w:t xml:space="preserve">4. </w:t>
      </w:r>
      <w:r>
        <w:t xml:space="preserve">The official record of proceedings is maintained on Brightspace, as set out in Rule 3.</w:t>
      </w:r>
    </w:p>
    <w:p>
      <w:pPr>
        <w:spacing w:after="100" w:before="240"/>
      </w:pPr>
      <w:r>
        <w:rPr>
          <w:b/>
          <w:bCs/>
          <w:sz w:val="22"/>
          <w:szCs w:val="22"/>
        </w:rPr>
        <w:t xml:space="preserve">Rule 3</w:t>
      </w:r>
      <w:r>
        <w:rPr>
          <w:b/>
          <w:bCs/>
          <w:sz w:val="22"/>
          <w:szCs w:val="22"/>
        </w:rPr>
        <w:t xml:space="preserve"> — The Official Record</w:t>
      </w:r>
    </w:p>
    <w:p>
      <w:pPr>
        <w:spacing w:after="120" w:line="300"/>
        <w:ind w:left="300"/>
        <w:jc w:val="both"/>
      </w:pPr>
      <w:r>
        <w:rPr>
          <w:b/>
          <w:bCs/>
        </w:rPr>
        <w:t xml:space="preserve">1. </w:t>
      </w:r>
      <w:r>
        <w:t xml:space="preserve">All formal submissions, decisions, rulings, and orders of the Chamber constitute the official record of the proceedings. The official record is maintained on Brightspace and is publicly accessible to all roles unless the Chamber orders otherwise.</w:t>
      </w:r>
    </w:p>
    <w:p>
      <w:pPr>
        <w:spacing w:after="120" w:line="300"/>
        <w:ind w:left="300"/>
        <w:jc w:val="both"/>
      </w:pPr>
      <w:r>
        <w:rPr>
          <w:b/>
          <w:bCs/>
        </w:rPr>
        <w:t xml:space="preserve">2. </w:t>
      </w:r>
      <w:r>
        <w:t xml:space="preserve">Informal communications, strategic discussions, and diplomatic exchanges between parties do not form part of the official record unless formally submitted to the Chamber.</w:t>
      </w:r>
    </w:p>
    <w:p>
      <w:pPr>
        <w:spacing w:after="120" w:line="300"/>
        <w:ind w:left="300"/>
        <w:jc w:val="both"/>
      </w:pPr>
      <w:r>
        <w:rPr>
          <w:b/>
          <w:bCs/>
        </w:rPr>
        <w:t xml:space="preserve">3. </w:t>
      </w:r>
      <w:r>
        <w:t xml:space="preserve">The official record is maintained on Brightspace. Discord communications are not part of the official record but may inform strategy and negotiation that is subsequently reflected in formal submissions.</w:t>
      </w:r>
    </w:p>
    <w:p>
      <w:pPr>
        <w:spacing w:after="100" w:before="240"/>
      </w:pPr>
      <w:r>
        <w:rPr>
          <w:b/>
          <w:bCs/>
          <w:sz w:val="22"/>
          <w:szCs w:val="22"/>
        </w:rPr>
        <w:t xml:space="preserve">Rule 4</w:t>
      </w:r>
      <w:r>
        <w:rPr>
          <w:b/>
          <w:bCs/>
          <w:sz w:val="22"/>
          <w:szCs w:val="22"/>
        </w:rPr>
        <w:t xml:space="preserve"> — Languages and Submissions</w:t>
      </w:r>
    </w:p>
    <w:p>
      <w:pPr>
        <w:spacing w:after="120" w:line="300"/>
        <w:ind w:left="300"/>
        <w:jc w:val="both"/>
      </w:pPr>
      <w:r>
        <w:rPr>
          <w:b/>
          <w:bCs/>
        </w:rPr>
        <w:t xml:space="preserve">1. </w:t>
      </w:r>
      <w:r>
        <w:t xml:space="preserve">All formal submissions to the Chamber shall be made in writing and submitted to Brightspace by the deadlines specified in the ORDER or as directed by the Presiding Judge, and posted to the following week’s forum in accordance with each role’s own Trial Guide.</w:t>
      </w:r>
    </w:p>
    <w:p>
      <w:pPr>
        <w:spacing w:after="120" w:line="300"/>
        <w:ind w:left="300"/>
        <w:jc w:val="both"/>
      </w:pPr>
      <w:r>
        <w:rPr>
          <w:b/>
          <w:bCs/>
        </w:rPr>
        <w:t xml:space="preserve">2. </w:t>
      </w:r>
      <w:r>
        <w:t xml:space="preserve">Submissions shall clearly identify the submitting party or participant, the case reference number, the week of proceedings to which the submission relates, and the nature of the submission.</w:t>
      </w:r>
    </w:p>
    <w:p>
      <w:pPr>
        <w:spacing w:after="120" w:line="300"/>
        <w:ind w:left="300"/>
        <w:jc w:val="both"/>
      </w:pPr>
      <w:r>
        <w:rPr>
          <w:b/>
          <w:bCs/>
        </w:rPr>
        <w:t xml:space="preserve">3. </w:t>
      </w:r>
      <w:r>
        <w:t xml:space="preserve">Late submissions may be accepted at the discretion of the Presiding Judge, who shall take into account the reason for the delay, the prejudice to other parties, and the interests of justice.</w:t>
      </w:r>
    </w:p>
    <w:p>
      <w:pPr>
        <w:spacing w:after="100" w:before="240"/>
      </w:pPr>
      <w:r>
        <w:rPr>
          <w:b/>
          <w:bCs/>
          <w:sz w:val="22"/>
          <w:szCs w:val="22"/>
        </w:rPr>
        <w:t xml:space="preserve">Rule 5</w:t>
      </w:r>
      <w:r>
        <w:rPr>
          <w:b/>
          <w:bCs/>
          <w:sz w:val="22"/>
          <w:szCs w:val="22"/>
        </w:rPr>
        <w:t xml:space="preserve"> — Standard of Proof</w:t>
      </w:r>
    </w:p>
    <w:p>
      <w:pPr>
        <w:spacing w:after="120" w:line="300"/>
        <w:ind w:left="300"/>
        <w:jc w:val="both"/>
      </w:pPr>
      <w:r>
        <w:rPr>
          <w:b/>
          <w:bCs/>
        </w:rPr>
        <w:t xml:space="preserve">1. </w:t>
      </w:r>
      <w:r>
        <w:t xml:space="preserve">The accused shall be presumed innocent until proven guilty. The burden of proof rests at all times on the Office of the Prosecutor.</w:t>
      </w:r>
    </w:p>
    <w:p>
      <w:pPr>
        <w:spacing w:after="120" w:line="300"/>
        <w:ind w:left="300"/>
        <w:jc w:val="both"/>
      </w:pPr>
      <w:r>
        <w:rPr>
          <w:b/>
          <w:bCs/>
        </w:rPr>
        <w:t xml:space="preserve">2. </w:t>
      </w:r>
      <w:r>
        <w:t xml:space="preserve">The Chamber shall convict an accused only where it is satisfied beyond reasonable doubt that the accused is guilty of the charge.</w:t>
      </w:r>
    </w:p>
    <w:p>
      <w:pPr>
        <w:spacing w:after="120" w:line="300"/>
        <w:ind w:left="300"/>
        <w:jc w:val="both"/>
      </w:pPr>
      <w:r>
        <w:rPr>
          <w:b/>
          <w:bCs/>
        </w:rPr>
        <w:t xml:space="preserve">3. </w:t>
      </w:r>
      <w:r>
        <w:t xml:space="preserve">In determining admissibility of evidence, the Chamber applies a lower standard: evidence is admissible if it is relevant to the proceedings and its probative value is not substantially outweighed by its prejudicial effect.</w:t>
      </w:r>
    </w:p>
    <w:p>
      <w:pPr>
        <w:spacing w:after="120" w:line="300"/>
        <w:ind w:left="300"/>
        <w:jc w:val="both"/>
      </w:pPr>
      <w:r>
        <w:rPr>
          <w:b/>
          <w:bCs/>
        </w:rPr>
        <w:t xml:space="preserve">4. </w:t>
      </w:r>
      <w:r>
        <w:t xml:space="preserve">The Chamber may draw reasonable inferences from circumstantial evidence. The Chamber shall not convict on the basis of a single piece of uncorroborated evidence unless it is of compelling probative value.</w:t>
      </w:r>
    </w:p>
    <w:p>
      <w:pPr>
        <w:spacing w:after="100" w:before="240"/>
      </w:pPr>
      <w:r>
        <w:rPr>
          <w:b/>
          <w:bCs/>
          <w:sz w:val="22"/>
          <w:szCs w:val="22"/>
        </w:rPr>
        <w:t xml:space="preserve">Rule 6</w:t>
      </w:r>
      <w:r>
        <w:rPr>
          <w:b/>
          <w:bCs/>
          <w:sz w:val="22"/>
          <w:szCs w:val="22"/>
        </w:rPr>
        <w:t xml:space="preserve"> — Rights of the Accused</w:t>
      </w:r>
    </w:p>
    <w:p>
      <w:pPr>
        <w:spacing w:after="120" w:line="300"/>
        <w:jc w:val="both"/>
      </w:pPr>
      <w:r>
        <w:t xml:space="preserve">Each accused shall at all times enjoy the rights set out in Article 21 of the Statute of the High Court of Mir. In particular, each accused shall have the right to be present at all public proceedings, to be represented by counsel of their choosing, to examine witnesses, to remain silent without adverse inference, and to receive all materials relied upon by the Prosecution in advance of the proceedings to which those materials are relevant. Nothing in these Rules requires that Voss and Dravic be tried on a unified theory of defence, and each accused's rights under this Rule are held independently of the other.</w:t>
      </w:r>
    </w:p>
    <w:p>
      <w:pPr>
        <w:spacing w:after="100" w:before="240"/>
      </w:pPr>
      <w:r>
        <w:rPr>
          <w:b/>
          <w:bCs/>
          <w:sz w:val="22"/>
          <w:szCs w:val="22"/>
        </w:rPr>
        <w:t xml:space="preserve">Rule 7</w:t>
      </w:r>
      <w:r>
        <w:rPr>
          <w:b/>
          <w:bCs/>
          <w:sz w:val="22"/>
          <w:szCs w:val="22"/>
        </w:rPr>
        <w:t xml:space="preserve"> — VWR Participation</w:t>
      </w:r>
    </w:p>
    <w:p>
      <w:pPr>
        <w:spacing w:after="120" w:line="300"/>
        <w:ind w:left="300"/>
        <w:jc w:val="both"/>
      </w:pPr>
      <w:r>
        <w:rPr>
          <w:b/>
          <w:bCs/>
        </w:rPr>
        <w:t xml:space="preserve">1. </w:t>
      </w:r>
      <w:r>
        <w:t xml:space="preserve">Victims of the alleged crimes have the right to participate in proceedings before Division I through the VWR roles described in Rule 2(1)(d). Each VWR role owns a distinct piece of the victims' representation and files independently.</w:t>
      </w:r>
    </w:p>
    <w:p>
      <w:pPr>
        <w:spacing w:after="100" w:line="300"/>
        <w:ind w:left="600" w:hanging="300"/>
        <w:jc w:val="both"/>
      </w:pPr>
      <w:r>
        <w:rPr>
          <w:b/>
          <w:bCs/>
        </w:rPr>
        <w:t xml:space="preserve">(a) </w:t>
      </w:r>
      <w:r>
        <w:t xml:space="preserve">Lead Victims' Counsel represents the harm-affected communities directly, establishing standing and arguing the legal significance of the harm suffered across all active counts;</w:t>
      </w:r>
    </w:p>
    <w:p>
      <w:pPr>
        <w:spacing w:after="100" w:line="300"/>
        <w:ind w:left="600" w:hanging="300"/>
        <w:jc w:val="both"/>
      </w:pPr>
      <w:r>
        <w:rPr>
          <w:b/>
          <w:bCs/>
        </w:rPr>
        <w:t xml:space="preserve">(b) </w:t>
      </w:r>
      <w:r>
        <w:t xml:space="preserve">Reparations Counsel builds the reparations case independently, addressing the legal basis for reparations, the categories of harm, and the forms of reparation appropriate to each;</w:t>
      </w:r>
    </w:p>
    <w:p>
      <w:pPr>
        <w:spacing w:after="100" w:line="300"/>
        <w:ind w:left="600" w:hanging="300"/>
        <w:jc w:val="both"/>
      </w:pPr>
      <w:r>
        <w:rPr>
          <w:b/>
          <w:bCs/>
        </w:rPr>
        <w:t xml:space="preserve">(c) </w:t>
      </w:r>
      <w:r>
        <w:t xml:space="preserve">Displacement and Return Counsel addresses the legal framework governing return, the current conditions in the affected area, and the ongoing obligations of the parties;</w:t>
      </w:r>
    </w:p>
    <w:p>
      <w:pPr>
        <w:spacing w:after="100" w:line="300"/>
        <w:ind w:left="600" w:hanging="300"/>
        <w:jc w:val="both"/>
      </w:pPr>
      <w:r>
        <w:rPr>
          <w:b/>
          <w:bCs/>
        </w:rPr>
        <w:t xml:space="preserve">(d) </w:t>
      </w:r>
      <w:r>
        <w:t xml:space="preserve">Witness Counsel is responsible for establishing and, where challenged, defending the credibility of the victim, lay, and expert witnesses relied upon in the proceedings.</w:t>
      </w:r>
    </w:p>
    <w:p>
      <w:pPr>
        <w:spacing w:after="120" w:line="300"/>
        <w:ind w:left="300"/>
        <w:jc w:val="both"/>
      </w:pPr>
      <w:r>
        <w:rPr>
          <w:b/>
          <w:bCs/>
        </w:rPr>
        <w:t xml:space="preserve">2. </w:t>
      </w:r>
      <w:r>
        <w:t xml:space="preserve">The VWR roles may examine witnesses, present evidence, and make submissions on matters affecting the interests of victims. VWR submissions shall not duplicate the submissions of the Prosecution but may supplement them from the perspective of the affected communities.</w:t>
      </w:r>
    </w:p>
    <w:p>
      <w:pPr>
        <w:spacing w:after="120" w:line="300"/>
        <w:ind w:left="300"/>
        <w:jc w:val="both"/>
      </w:pPr>
      <w:r>
        <w:rPr>
          <w:b/>
          <w:bCs/>
        </w:rPr>
        <w:t xml:space="preserve">3. </w:t>
      </w:r>
      <w:r>
        <w:t xml:space="preserve">The VWR roles shall coordinate to ensure that different victim communities are represented and that their submissions are not duplicative of one another.</w:t>
      </w:r>
    </w:p>
    <w:p>
      <w:pPr>
        <w:spacing w:after="100" w:before="240"/>
      </w:pPr>
      <w:r>
        <w:rPr>
          <w:b/>
          <w:bCs/>
          <w:sz w:val="22"/>
          <w:szCs w:val="22"/>
        </w:rPr>
        <w:t xml:space="preserve">Rule 8</w:t>
      </w:r>
      <w:r>
        <w:rPr>
          <w:b/>
          <w:bCs/>
          <w:sz w:val="22"/>
          <w:szCs w:val="22"/>
        </w:rPr>
        <w:t xml:space="preserve"> — Legal Attaché Observations</w:t>
      </w:r>
    </w:p>
    <w:p>
      <w:pPr>
        <w:spacing w:after="120" w:line="300"/>
        <w:ind w:left="300"/>
        <w:jc w:val="both"/>
      </w:pPr>
      <w:r>
        <w:rPr>
          <w:b/>
          <w:bCs/>
        </w:rPr>
        <w:t xml:space="preserve">1. </w:t>
      </w:r>
      <w:r>
        <w:t xml:space="preserve">Each state delegation may file written observations through its Legal Attaché on any matter before the Chamber that affects the legal or political interests of that state.</w:t>
      </w:r>
    </w:p>
    <w:p>
      <w:pPr>
        <w:spacing w:after="120" w:line="300"/>
        <w:ind w:left="300"/>
        <w:jc w:val="both"/>
      </w:pPr>
      <w:r>
        <w:rPr>
          <w:b/>
          <w:bCs/>
        </w:rPr>
        <w:t xml:space="preserve">2. </w:t>
      </w:r>
      <w:r>
        <w:t xml:space="preserve">Observations shall be submitted to Brightspace, within the length specified in the Legal Attaché Trial Guide. They shall identify the state on whose behalf they are filed and the specific matter to which they relate.</w:t>
      </w:r>
    </w:p>
    <w:p>
      <w:pPr>
        <w:spacing w:after="120" w:line="300"/>
        <w:ind w:left="300"/>
        <w:jc w:val="both"/>
      </w:pPr>
      <w:r>
        <w:rPr>
          <w:b/>
          <w:bCs/>
        </w:rPr>
        <w:t xml:space="preserve">3. </w:t>
      </w:r>
      <w:r>
        <w:t xml:space="preserve">The Chamber shall take observations into account but is not bound by them. Observations do not constitute evidence.</w:t>
      </w:r>
    </w:p>
    <w:p>
      <w:pPr>
        <w:spacing w:after="120" w:line="300"/>
        <w:ind w:left="300"/>
        <w:jc w:val="both"/>
      </w:pPr>
      <w:r>
        <w:rPr>
          <w:b/>
          <w:bCs/>
        </w:rPr>
        <w:t xml:space="preserve">4. </w:t>
      </w:r>
      <w:r>
        <w:t xml:space="preserve">Legal Attachés may not participate in oral proceedings unless specifically invited to do so by the Presiding Judge.</w:t>
      </w:r>
    </w:p>
    <w:p>
      <w:pPr>
        <w:spacing w:after="100" w:before="240"/>
      </w:pPr>
      <w:r>
        <w:rPr>
          <w:b/>
          <w:bCs/>
          <w:sz w:val="22"/>
          <w:szCs w:val="22"/>
        </w:rPr>
        <w:t xml:space="preserve">Rule 9</w:t>
      </w:r>
      <w:r>
        <w:rPr>
          <w:b/>
          <w:bCs/>
          <w:sz w:val="22"/>
          <w:szCs w:val="22"/>
        </w:rPr>
        <w:t xml:space="preserve"> — Amicus Curiae</w:t>
      </w:r>
    </w:p>
    <w:p>
      <w:pPr>
        <w:spacing w:after="120" w:line="300"/>
        <w:ind w:left="300"/>
        <w:jc w:val="both"/>
      </w:pPr>
      <w:r>
        <w:rPr>
          <w:b/>
          <w:bCs/>
        </w:rPr>
        <w:t xml:space="preserve">1. </w:t>
      </w:r>
      <w:r>
        <w:t xml:space="preserve">The Chamber may receive amicus curiae briefs from persons or organizations with relevant expertise. Amicus briefs are filed by the three Amicus roles: the Nuclear Weapons Brief, the Command Responsibility Brief, and the Jurisdiction and Aggression Brief.</w:t>
      </w:r>
    </w:p>
    <w:p>
      <w:pPr>
        <w:spacing w:after="120" w:line="300"/>
        <w:ind w:left="300"/>
        <w:jc w:val="both"/>
      </w:pPr>
      <w:r>
        <w:rPr>
          <w:b/>
          <w:bCs/>
        </w:rPr>
        <w:t xml:space="preserve">2. </w:t>
      </w:r>
      <w:r>
        <w:t xml:space="preserve">Amicus briefs shall be filed during the week of proceedings to which they are most relevant, as specified in each Part of the ORDER. They shall identify the area of expertise of the author and the legal question addressed.</w:t>
      </w:r>
    </w:p>
    <w:p>
      <w:pPr>
        <w:spacing w:after="120" w:line="300"/>
        <w:ind w:left="300"/>
        <w:jc w:val="both"/>
      </w:pPr>
      <w:r>
        <w:rPr>
          <w:b/>
          <w:bCs/>
        </w:rPr>
        <w:t xml:space="preserve">3. </w:t>
      </w:r>
      <w:r>
        <w:t xml:space="preserve">Amicus briefs shall address only the legal question for which amicus status has been granted, within the length specified in the relevant role’s Trial Guide. They shall not argue for or against any party but shall provide the Chamber with independent legal analysis.</w:t>
      </w:r>
    </w:p>
    <w:p>
      <w:pPr>
        <w:spacing w:after="120" w:line="300"/>
        <w:ind w:left="300"/>
        <w:jc w:val="both"/>
      </w:pPr>
      <w:r>
        <w:rPr>
          <w:b/>
          <w:bCs/>
        </w:rPr>
        <w:t xml:space="preserve">4. </w:t>
      </w:r>
      <w:r>
        <w:t xml:space="preserve">The Chamber shall take amicus briefs into account in its deliberations. Parties may respond to amicus briefs within three days of their filing.</w:t>
      </w:r>
    </w:p>
    <w:p>
      <w:pPr>
        <w:spacing w:after="120" w:line="300"/>
        <w:ind w:left="300"/>
        <w:jc w:val="both"/>
      </w:pPr>
      <w:r>
        <w:rPr>
          <w:b/>
          <w:bCs/>
        </w:rPr>
        <w:t xml:space="preserve">5. </w:t>
      </w:r>
      <w:r>
        <w:t xml:space="preserve">Consistent with Rule 34, the Amicus roles do not file any brief responding to the Judgment. The Judgment is released only after all Week 5 submissions are filed, and the Week 5 Amicus brief accordingly addresses the Defence's Week 4 case, not the Judgment.</w:t>
      </w:r>
    </w:p>
    <w:p>
      <w:pPr>
        <w:spacing w:after="100" w:before="240"/>
      </w:pPr>
      <w:r>
        <w:rPr>
          <w:b/>
          <w:bCs/>
          <w:sz w:val="22"/>
          <w:szCs w:val="22"/>
        </w:rPr>
        <w:t xml:space="preserve">Rule 10</w:t>
      </w:r>
      <w:r>
        <w:rPr>
          <w:b/>
          <w:bCs/>
          <w:sz w:val="22"/>
          <w:szCs w:val="22"/>
        </w:rPr>
        <w:t xml:space="preserve"> — Analytical Roles and the Public Record</w:t>
      </w:r>
    </w:p>
    <w:p>
      <w:pPr>
        <w:spacing w:after="120" w:line="300"/>
        <w:ind w:left="300"/>
        <w:jc w:val="both"/>
      </w:pPr>
      <w:r>
        <w:rPr>
          <w:b/>
          <w:bCs/>
        </w:rPr>
        <w:t xml:space="preserve">1. </w:t>
      </w:r>
      <w:r>
        <w:t xml:space="preserve">The analytical roles — the Sovereignty and Jurisdiction Analyst, the Historical and Contextual Analyst, and the Norm and Justice Analyst — contribute to the public record of the proceedings through weekly analytical submissions.</w:t>
      </w:r>
    </w:p>
    <w:p>
      <w:pPr>
        <w:spacing w:after="120" w:line="300"/>
        <w:ind w:left="300"/>
        <w:jc w:val="both"/>
      </w:pPr>
      <w:r>
        <w:rPr>
          <w:b/>
          <w:bCs/>
        </w:rPr>
        <w:t xml:space="preserve">2. </w:t>
      </w:r>
      <w:r>
        <w:t xml:space="preserve">Analytical submissions are not evidence and do not bind the Chamber. They constitute independent commentary on the legal and political dimensions of the proceedings that enriches the public record.</w:t>
      </w:r>
    </w:p>
    <w:p>
      <w:pPr>
        <w:pBdr>
          <w:bottom w:val="single" w:color="1B3A6B" w:sz="8" w:space="6"/>
        </w:pBdr>
        <w:spacing w:after="160" w:before="360"/>
      </w:pPr>
      <w:r>
        <w:rPr>
          <w:b/>
          <w:bCs/>
          <w:color w:val="1B3A6B"/>
          <w:sz w:val="24"/>
          <w:szCs w:val="24"/>
        </w:rPr>
        <w:t xml:space="preserve">PART II — WEEK 1: LEGAL FRAMEWORK AND EVIDENCE</w:t>
      </w:r>
    </w:p>
    <w:p>
      <w:pPr>
        <w:spacing w:after="200" w:line="300"/>
        <w:jc w:val="both"/>
      </w:pPr>
      <w:r>
        <w:rPr>
          <w:i/>
          <w:iCs/>
          <w:color w:val="4A4A4A"/>
        </w:rPr>
        <w:t xml:space="preserve">Week 1 establishes the legal and factual foundation of the proceedings. Each Prosecution Count Counsel files an opening statement of the legal framework applicable to their count. Each Defence Count Counsel, for both the Voss and Dravic Defence teams, files a preliminary opening position. The Bench issues its Initial Directions establishing the procedural framework for the trial. All parties and participants engage with the case file and the applicable legal instruments.</w:t>
      </w:r>
    </w:p>
    <w:p>
      <w:pPr>
        <w:spacing w:after="100" w:before="240"/>
      </w:pPr>
      <w:r>
        <w:rPr>
          <w:b/>
          <w:bCs/>
          <w:sz w:val="22"/>
          <w:szCs w:val="22"/>
        </w:rPr>
        <w:t xml:space="preserve">Rule 11</w:t>
      </w:r>
      <w:r>
        <w:rPr>
          <w:b/>
          <w:bCs/>
          <w:sz w:val="22"/>
          <w:szCs w:val="22"/>
        </w:rPr>
        <w:t xml:space="preserve"> — Prosecution — Opening Legal Framework</w:t>
      </w:r>
    </w:p>
    <w:p>
      <w:pPr>
        <w:spacing w:after="120" w:line="300"/>
        <w:ind w:left="300"/>
        <w:jc w:val="both"/>
      </w:pPr>
      <w:r>
        <w:rPr>
          <w:b/>
          <w:bCs/>
        </w:rPr>
        <w:t xml:space="preserve">1. </w:t>
      </w:r>
      <w:r>
        <w:t xml:space="preserve">Each Prosecution Count Counsel shall independently file an Opening Legal Framework for their assigned count no later than the end of Week 1. Each Opening Legal Framework shall:</w:t>
      </w:r>
    </w:p>
    <w:p>
      <w:pPr>
        <w:spacing w:after="100" w:line="300"/>
        <w:ind w:left="600" w:hanging="300"/>
        <w:jc w:val="both"/>
      </w:pPr>
      <w:r>
        <w:rPr>
          <w:b/>
          <w:bCs/>
        </w:rPr>
        <w:t xml:space="preserve">(a) </w:t>
      </w:r>
      <w:r>
        <w:t xml:space="preserve">Identify the charge in Indictment No. ICT-MIR-001 for that count and the legal basis for it, including the specific provisions of the applicable instruments;</w:t>
      </w:r>
    </w:p>
    <w:p>
      <w:pPr>
        <w:spacing w:after="100" w:line="300"/>
        <w:ind w:left="600" w:hanging="300"/>
        <w:jc w:val="both"/>
      </w:pPr>
      <w:r>
        <w:rPr>
          <w:b/>
          <w:bCs/>
        </w:rPr>
        <w:t xml:space="preserve">(b) </w:t>
      </w:r>
      <w:r>
        <w:t xml:space="preserve">Identify the key facts the Prosecution intends to prove in support of the charge and the evidence it intends to rely upon;</w:t>
      </w:r>
    </w:p>
    <w:p>
      <w:pPr>
        <w:spacing w:after="100" w:line="300"/>
        <w:ind w:left="600" w:hanging="300"/>
        <w:jc w:val="both"/>
      </w:pPr>
      <w:r>
        <w:rPr>
          <w:b/>
          <w:bCs/>
        </w:rPr>
        <w:t xml:space="preserve">(c) </w:t>
      </w:r>
      <w:r>
        <w:t xml:space="preserve">Preview the applicable elements the Prosecution will need to establish, and the modes of individual criminal responsibility to be argued for each accused.</w:t>
      </w:r>
    </w:p>
    <w:p>
      <w:pPr>
        <w:spacing w:after="120" w:line="300"/>
        <w:ind w:left="300"/>
        <w:jc w:val="both"/>
      </w:pPr>
      <w:r>
        <w:rPr>
          <w:b/>
          <w:bCs/>
        </w:rPr>
        <w:t xml:space="preserve">2. </w:t>
      </w:r>
      <w:r>
        <w:t xml:space="preserve">Count Counsel are independently responsible for identifying the applicable legal instruments and elements for their own count. Count Counsel are encouraged, but not required, to coordinate on Discord to ensure consistency across counts.</w:t>
      </w:r>
    </w:p>
    <w:p>
      <w:pPr>
        <w:spacing w:after="100" w:before="240"/>
      </w:pPr>
      <w:r>
        <w:rPr>
          <w:b/>
          <w:bCs/>
          <w:sz w:val="22"/>
          <w:szCs w:val="22"/>
        </w:rPr>
        <w:t xml:space="preserve">Rule 12</w:t>
      </w:r>
      <w:r>
        <w:rPr>
          <w:b/>
          <w:bCs/>
          <w:sz w:val="22"/>
          <w:szCs w:val="22"/>
        </w:rPr>
        <w:t xml:space="preserve"> — Defence — Preliminary Position</w:t>
      </w:r>
    </w:p>
    <w:p>
      <w:pPr>
        <w:spacing w:after="120" w:line="300"/>
        <w:ind w:left="300"/>
        <w:jc w:val="both"/>
      </w:pPr>
      <w:r>
        <w:rPr>
          <w:b/>
          <w:bCs/>
        </w:rPr>
        <w:t xml:space="preserve">1. </w:t>
      </w:r>
      <w:r>
        <w:t xml:space="preserve">Each Defence Count Counsel, for both the Voss Defence and the Dravic Defence, shall independently file a preliminary opening position for their assigned count no later than the end of Week 1. Each submission shall:</w:t>
      </w:r>
    </w:p>
    <w:p>
      <w:pPr>
        <w:spacing w:after="100" w:line="300"/>
        <w:ind w:left="600" w:hanging="300"/>
        <w:jc w:val="both"/>
      </w:pPr>
      <w:r>
        <w:rPr>
          <w:b/>
          <w:bCs/>
        </w:rPr>
        <w:t xml:space="preserve">(a) </w:t>
      </w:r>
      <w:r>
        <w:t xml:space="preserve">Identify the elements of the charge the Defence intends to contest and the grounds for contesting them;</w:t>
      </w:r>
    </w:p>
    <w:p>
      <w:pPr>
        <w:spacing w:after="100" w:line="300"/>
        <w:ind w:left="600" w:hanging="300"/>
        <w:jc w:val="both"/>
      </w:pPr>
      <w:r>
        <w:rPr>
          <w:b/>
          <w:bCs/>
        </w:rPr>
        <w:t xml:space="preserve">(b) </w:t>
      </w:r>
      <w:r>
        <w:t xml:space="preserve">Preview any jurisdictional or admissibility challenges the Defence intends to raise in Week 2;</w:t>
      </w:r>
    </w:p>
    <w:p>
      <w:pPr>
        <w:spacing w:after="100" w:line="300"/>
        <w:ind w:left="600" w:hanging="300"/>
        <w:jc w:val="both"/>
      </w:pPr>
      <w:r>
        <w:rPr>
          <w:b/>
          <w:bCs/>
        </w:rPr>
        <w:t xml:space="preserve">(c) </w:t>
      </w:r>
      <w:r>
        <w:t xml:space="preserve">Preview the key legal arguments the Defence intends to advance, including any claims of lawful self-defence, military necessity, or other grounds for excluding criminal responsibility available under Article 25 of the Statute.</w:t>
      </w:r>
    </w:p>
    <w:p>
      <w:pPr>
        <w:spacing w:after="120" w:line="300"/>
        <w:ind w:left="300"/>
        <w:jc w:val="both"/>
      </w:pPr>
      <w:r>
        <w:rPr>
          <w:b/>
          <w:bCs/>
        </w:rPr>
        <w:t xml:space="preserve">2. </w:t>
      </w:r>
      <w:r>
        <w:t xml:space="preserve">The Voss Defence and Dravic Defence are independent parties and are not required to adopt consistent theories of defence. Count Counsel within each Defence team are encouraged, but not required, to coordinate to ensure their arguments on shared factual questions are consistent.</w:t>
      </w:r>
    </w:p>
    <w:p>
      <w:pPr>
        <w:spacing w:after="100" w:before="240"/>
      </w:pPr>
      <w:r>
        <w:rPr>
          <w:b/>
          <w:bCs/>
          <w:sz w:val="22"/>
          <w:szCs w:val="22"/>
        </w:rPr>
        <w:t xml:space="preserve">Rule 13</w:t>
      </w:r>
      <w:r>
        <w:rPr>
          <w:b/>
          <w:bCs/>
          <w:sz w:val="22"/>
          <w:szCs w:val="22"/>
        </w:rPr>
        <w:t xml:space="preserve"> — Bench — Initial Directions</w:t>
      </w:r>
    </w:p>
    <w:p>
      <w:pPr>
        <w:spacing w:after="120" w:line="300"/>
        <w:ind w:left="300"/>
        <w:jc w:val="both"/>
      </w:pPr>
      <w:r>
        <w:rPr>
          <w:b/>
          <w:bCs/>
        </w:rPr>
        <w:t xml:space="preserve">1. </w:t>
      </w:r>
      <w:r>
        <w:t xml:space="preserve">The Presiding Judge shall issue Initial Directions no later than the end of Week 1. Initial Directions shall:</w:t>
      </w:r>
    </w:p>
    <w:p>
      <w:pPr>
        <w:spacing w:after="100" w:line="300"/>
        <w:ind w:left="600" w:hanging="300"/>
        <w:jc w:val="both"/>
      </w:pPr>
      <w:r>
        <w:rPr>
          <w:b/>
          <w:bCs/>
        </w:rPr>
        <w:t xml:space="preserve">(a) </w:t>
      </w:r>
      <w:r>
        <w:t xml:space="preserve">Confirm the procedural schedule for the five weeks of proceedings;</w:t>
      </w:r>
    </w:p>
    <w:p>
      <w:pPr>
        <w:spacing w:after="100" w:line="300"/>
        <w:ind w:left="600" w:hanging="300"/>
        <w:jc w:val="both"/>
      </w:pPr>
      <w:r>
        <w:rPr>
          <w:b/>
          <w:bCs/>
        </w:rPr>
        <w:t xml:space="preserve">(b) </w:t>
      </w:r>
      <w:r>
        <w:t xml:space="preserve">Identify any preliminary legal questions the Bench intends to address before the substantive proceedings begin;</w:t>
      </w:r>
    </w:p>
    <w:p>
      <w:pPr>
        <w:spacing w:after="100" w:line="300"/>
        <w:ind w:left="600" w:hanging="300"/>
        <w:jc w:val="both"/>
      </w:pPr>
      <w:r>
        <w:rPr>
          <w:b/>
          <w:bCs/>
        </w:rPr>
        <w:t xml:space="preserve">(c) </w:t>
      </w:r>
      <w:r>
        <w:t xml:space="preserve">Set out any directions regarding the format, length, and timing of submissions;</w:t>
      </w:r>
    </w:p>
    <w:p>
      <w:pPr>
        <w:spacing w:after="100" w:line="300"/>
        <w:ind w:left="600" w:hanging="300"/>
        <w:jc w:val="both"/>
      </w:pPr>
      <w:r>
        <w:rPr>
          <w:b/>
          <w:bCs/>
        </w:rPr>
        <w:t xml:space="preserve">(d) </w:t>
      </w:r>
      <w:r>
        <w:t xml:space="preserve">Address any preliminary applications made by the parties.</w:t>
      </w:r>
    </w:p>
    <w:p>
      <w:pPr>
        <w:spacing w:after="120" w:line="300"/>
        <w:ind w:left="300"/>
        <w:jc w:val="both"/>
      </w:pPr>
      <w:r>
        <w:rPr>
          <w:b/>
          <w:bCs/>
        </w:rPr>
        <w:t xml:space="preserve">2. </w:t>
      </w:r>
      <w:r>
        <w:t xml:space="preserve">Associate Judges shall file individual analyses identifying the legal questions they consider most significant and the instruments they consider most relevant to the proceedings.</w:t>
      </w:r>
    </w:p>
    <w:p>
      <w:pPr>
        <w:spacing w:after="120" w:line="300"/>
        <w:ind w:left="300"/>
        <w:jc w:val="both"/>
      </w:pPr>
      <w:r>
        <w:rPr>
          <w:b/>
          <w:bCs/>
        </w:rPr>
        <w:t xml:space="preserve">3. </w:t>
      </w:r>
      <w:r>
        <w:t xml:space="preserve">The Bench shall not prejudge any issue in its Initial Directions. Initial Directions are procedural in nature and shall not indicate how the Bench intends to decide any substantive question.</w:t>
      </w:r>
    </w:p>
    <w:p>
      <w:pPr>
        <w:spacing w:after="100" w:before="240"/>
      </w:pPr>
      <w:r>
        <w:rPr>
          <w:b/>
          <w:bCs/>
          <w:sz w:val="22"/>
          <w:szCs w:val="22"/>
        </w:rPr>
        <w:t xml:space="preserve">Rule 14</w:t>
      </w:r>
      <w:r>
        <w:rPr>
          <w:b/>
          <w:bCs/>
          <w:sz w:val="22"/>
          <w:szCs w:val="22"/>
        </w:rPr>
        <w:t xml:space="preserve"> — Delegation and Analytical Submissions — Week 1</w:t>
      </w:r>
    </w:p>
    <w:p>
      <w:pPr>
        <w:spacing w:after="120" w:line="300"/>
        <w:jc w:val="both"/>
      </w:pPr>
      <w:r>
        <w:t xml:space="preserve">During Week 1 all delegation and analytical roles shall file the following:</w:t>
      </w:r>
    </w:p>
    <w:p>
      <w:pPr>
        <w:spacing w:after="60" w:before="160"/>
      </w:pPr>
      <w:r>
        <w:rPr>
          <w:b/>
          <w:bCs/>
        </w:rPr>
        <w:t xml:space="preserve">Legal Attachés (all states)</w:t>
      </w:r>
    </w:p>
    <w:p>
      <w:pPr>
        <w:spacing w:after="80" w:line="276"/>
        <w:ind w:left="300"/>
        <w:jc w:val="both"/>
      </w:pPr>
      <w:r>
        <w:t xml:space="preserve">→ </w:t>
      </w:r>
      <w:r>
        <w:t xml:space="preserve">File a State Legal Position Paper identifying their state's legal and political interests in the proceedings and any observations on the charges or applicable legal framework.</w:t>
      </w:r>
    </w:p>
    <w:p>
      <w:pPr>
        <w:spacing w:after="80" w:line="276"/>
        <w:ind w:left="300"/>
        <w:jc w:val="both"/>
      </w:pPr>
      <w:r>
        <w:t xml:space="preserve">→ </w:t>
      </w:r>
      <w:r>
        <w:t xml:space="preserve">Begin monitoring all formal submissions and reporting to their state cabinet via Discord.</w:t>
      </w:r>
    </w:p>
    <w:p>
      <w:pPr>
        <w:spacing w:after="60" w:before="160"/>
      </w:pPr>
      <w:r>
        <w:rPr>
          <w:b/>
          <w:bCs/>
        </w:rPr>
        <w:t xml:space="preserve">Political Observers (all states)</w:t>
      </w:r>
    </w:p>
    <w:p>
      <w:pPr>
        <w:spacing w:after="80" w:line="276"/>
        <w:ind w:left="300"/>
        <w:jc w:val="both"/>
      </w:pPr>
      <w:r>
        <w:t xml:space="preserve">→ </w:t>
      </w:r>
      <w:r>
        <w:t xml:space="preserve">File a Political Context Analysis assessing the domestic and international political implications of the trial for their state.</w:t>
      </w:r>
    </w:p>
    <w:p>
      <w:pPr>
        <w:spacing w:after="80" w:line="276"/>
        <w:ind w:left="300"/>
        <w:jc w:val="both"/>
      </w:pPr>
      <w:r>
        <w:t xml:space="preserve">→ </w:t>
      </w:r>
      <w:r>
        <w:t xml:space="preserve">Begin monitoring audience cost dynamics via interaction with domestic public AI bots.</w:t>
      </w:r>
    </w:p>
    <w:p>
      <w:pPr>
        <w:spacing w:after="60" w:before="160"/>
      </w:pPr>
      <w:r>
        <w:rPr>
          <w:b/>
          <w:bCs/>
        </w:rPr>
        <w:t xml:space="preserve">VWR (all four roles)</w:t>
      </w:r>
    </w:p>
    <w:p>
      <w:pPr>
        <w:spacing w:after="80" w:line="276"/>
        <w:ind w:left="300"/>
        <w:jc w:val="both"/>
      </w:pPr>
      <w:r>
        <w:t xml:space="preserve">→ </w:t>
      </w:r>
      <w:r>
        <w:t xml:space="preserve">File the Week 1 foundational submission specified in each role's own Trial Guide, establishing standing, legal basis, or legal framework as applicable to that role.</w:t>
      </w:r>
    </w:p>
    <w:p>
      <w:pPr>
        <w:spacing w:after="60" w:before="160"/>
      </w:pPr>
      <w:r>
        <w:rPr>
          <w:b/>
          <w:bCs/>
        </w:rPr>
        <w:t xml:space="preserve">Sovereignty and Jurisdiction Analyst</w:t>
      </w:r>
    </w:p>
    <w:p>
      <w:pPr>
        <w:spacing w:after="80" w:line="276"/>
        <w:ind w:left="300"/>
        <w:jc w:val="both"/>
      </w:pPr>
      <w:r>
        <w:t xml:space="preserve">→ </w:t>
      </w:r>
      <w:r>
        <w:t xml:space="preserve">File a Jurisdiction Analysis examining the basis for the Chamber's jurisdiction and any contested jurisdictional questions.</w:t>
      </w:r>
    </w:p>
    <w:p>
      <w:pPr>
        <w:spacing w:after="60" w:before="160"/>
      </w:pPr>
      <w:r>
        <w:rPr>
          <w:b/>
          <w:bCs/>
        </w:rPr>
        <w:t xml:space="preserve">Historical and Contextual Analyst</w:t>
      </w:r>
    </w:p>
    <w:p>
      <w:pPr>
        <w:spacing w:after="80" w:line="276"/>
        <w:ind w:left="300"/>
        <w:jc w:val="both"/>
      </w:pPr>
      <w:r>
        <w:t xml:space="preserve">→ </w:t>
      </w:r>
      <w:r>
        <w:t xml:space="preserve">File a Historical Context Report summarizing the relevant history of the Great Hadian War and its relationship to the charges.</w:t>
      </w:r>
    </w:p>
    <w:p>
      <w:pPr>
        <w:spacing w:after="60" w:before="160"/>
      </w:pPr>
      <w:r>
        <w:rPr>
          <w:b/>
          <w:bCs/>
        </w:rPr>
        <w:t xml:space="preserve">Norm and Justice Analyst</w:t>
      </w:r>
    </w:p>
    <w:p>
      <w:pPr>
        <w:spacing w:after="80" w:line="276"/>
        <w:ind w:left="300"/>
        <w:jc w:val="both"/>
      </w:pPr>
      <w:r>
        <w:t xml:space="preserve">→ </w:t>
      </w:r>
      <w:r>
        <w:t xml:space="preserve">File a Normative Stakes Analysis identifying the values and norms in tension in the proceedings and the broader significance of the case for international law in Mir.</w:t>
      </w:r>
    </w:p>
    <w:p>
      <w:pPr>
        <w:spacing w:after="60" w:before="160"/>
      </w:pPr>
      <w:r>
        <w:rPr>
          <w:b/>
          <w:bCs/>
        </w:rPr>
        <w:t xml:space="preserve">Nuclear Weapons Brief (Amicus)</w:t>
      </w:r>
    </w:p>
    <w:p>
      <w:pPr>
        <w:spacing w:after="80" w:line="276"/>
        <w:ind w:left="300"/>
        <w:jc w:val="both"/>
      </w:pPr>
      <w:r>
        <w:t xml:space="preserve">→ </w:t>
      </w:r>
      <w:r>
        <w:t xml:space="preserve">File an Amicus Brief on the legal status of nuclear weapons under the SWORD, MCWC, and GLOW Opinion, identifying the key legal questions the Chamber will need to resolve.</w:t>
      </w:r>
    </w:p>
    <w:p>
      <w:pPr>
        <w:spacing w:after="60" w:before="160"/>
      </w:pPr>
      <w:r>
        <w:rPr>
          <w:b/>
          <w:bCs/>
        </w:rPr>
        <w:t xml:space="preserve">Jurisdiction and Aggression Brief (Amicus)</w:t>
      </w:r>
    </w:p>
    <w:p>
      <w:pPr>
        <w:spacing w:after="80" w:line="276"/>
        <w:ind w:left="300"/>
        <w:jc w:val="both"/>
      </w:pPr>
      <w:r>
        <w:t xml:space="preserve">→ </w:t>
      </w:r>
      <w:r>
        <w:t xml:space="preserve">File an Amicus Brief on the jurisdictional basis for the proceedings and the applicable definition of aggression under the UM Charter.</w:t>
      </w:r>
    </w:p>
    <w:p>
      <w:pPr>
        <w:pBdr>
          <w:bottom w:val="single" w:color="1B3A6B" w:sz="8" w:space="6"/>
        </w:pBdr>
        <w:spacing w:after="160" w:before="360"/>
      </w:pPr>
      <w:r>
        <w:rPr>
          <w:b/>
          <w:bCs/>
          <w:color w:val="1B3A6B"/>
          <w:sz w:val="24"/>
          <w:szCs w:val="24"/>
        </w:rPr>
        <w:t xml:space="preserve">PART III — WEEK 2: EVIDENCE AND PRELIMINARY MOTIONS</w:t>
      </w:r>
    </w:p>
    <w:p>
      <w:pPr>
        <w:spacing w:after="200" w:line="300"/>
        <w:jc w:val="both"/>
      </w:pPr>
      <w:r>
        <w:rPr>
          <w:i/>
          <w:iCs/>
          <w:color w:val="4A4A4A"/>
        </w:rPr>
        <w:t xml:space="preserve">Week 2 is the evidence and preliminary motions phase. Each Prosecution Count Counsel introduces the evidence supporting their count. Each Defence Count Counsel, for both the Voss and Dravic Defence, may file a preliminary motion. The Bench manages preliminary applications arising from those motions.</w:t>
      </w:r>
    </w:p>
    <w:p>
      <w:pPr>
        <w:spacing w:after="100" w:before="240"/>
      </w:pPr>
      <w:r>
        <w:rPr>
          <w:b/>
          <w:bCs/>
          <w:sz w:val="22"/>
          <w:szCs w:val="22"/>
        </w:rPr>
        <w:t xml:space="preserve">Rule 15</w:t>
      </w:r>
      <w:r>
        <w:rPr>
          <w:b/>
          <w:bCs/>
          <w:sz w:val="22"/>
          <w:szCs w:val="22"/>
        </w:rPr>
        <w:t xml:space="preserve"> — Witness Rules — General</w:t>
      </w:r>
    </w:p>
    <w:p>
      <w:pPr>
        <w:spacing w:after="120" w:line="300"/>
        <w:ind w:left="300"/>
        <w:jc w:val="both"/>
      </w:pPr>
      <w:r>
        <w:rPr>
          <w:b/>
          <w:bCs/>
        </w:rPr>
        <w:t xml:space="preserve">1. </w:t>
      </w:r>
      <w:r>
        <w:t xml:space="preserve">Witnesses before Division I include AI-assisted witnesses, which are interactive simulations of persons relevant to the proceedings, including the accused, expert witnesses, and victim community representatives. They are accessible through the simulation webpage.</w:t>
      </w:r>
    </w:p>
    <w:p>
      <w:pPr>
        <w:spacing w:after="120" w:line="300"/>
        <w:ind w:left="300"/>
        <w:jc w:val="both"/>
      </w:pPr>
      <w:r>
        <w:rPr>
          <w:b/>
          <w:bCs/>
        </w:rPr>
        <w:t xml:space="preserve">2. </w:t>
      </w:r>
      <w:r>
        <w:t xml:space="preserve">All witness testimony obtained through AI-assisted witnesses shall be treated as testimony for the purposes of these Rules.</w:t>
      </w:r>
    </w:p>
    <w:p>
      <w:pPr>
        <w:spacing w:after="120" w:line="300"/>
        <w:ind w:left="300"/>
        <w:jc w:val="both"/>
      </w:pPr>
      <w:r>
        <w:rPr>
          <w:b/>
          <w:bCs/>
        </w:rPr>
        <w:t xml:space="preserve">3. </w:t>
      </w:r>
      <w:r>
        <w:t xml:space="preserve">Neither accused shall be compelled to testify. Should either accused's bot be examined, the transcript is treated as that accused's own statement and is subject to examination by any party with access to that bot under the role's Trial Guide.</w:t>
      </w:r>
    </w:p>
    <w:p>
      <w:pPr>
        <w:spacing w:after="120" w:line="300"/>
        <w:ind w:left="300"/>
        <w:jc w:val="both"/>
      </w:pPr>
      <w:r>
        <w:rPr>
          <w:b/>
          <w:bCs/>
        </w:rPr>
        <w:t xml:space="preserve">4. </w:t>
      </w:r>
      <w:r>
        <w:t xml:space="preserve">Expert witnesses shall identify their area of expertise, the basis for their opinions, and any limitations on their knowledge. The Chamber shall assess the weight to be given to expert testimony having regard to the qualifications, methodology, and independence of the expert.</w:t>
      </w:r>
    </w:p>
    <w:p>
      <w:pPr>
        <w:spacing w:after="100" w:before="240"/>
      </w:pPr>
      <w:r>
        <w:rPr>
          <w:b/>
          <w:bCs/>
          <w:sz w:val="22"/>
          <w:szCs w:val="22"/>
        </w:rPr>
        <w:t xml:space="preserve">Rule 16</w:t>
      </w:r>
      <w:r>
        <w:rPr>
          <w:b/>
          <w:bCs/>
          <w:sz w:val="22"/>
          <w:szCs w:val="22"/>
        </w:rPr>
        <w:t xml:space="preserve"> — Prosecution — Evidence Introduced</w:t>
      </w:r>
    </w:p>
    <w:p>
      <w:pPr>
        <w:spacing w:after="120" w:line="300"/>
        <w:ind w:left="300"/>
        <w:jc w:val="both"/>
      </w:pPr>
      <w:r>
        <w:rPr>
          <w:b/>
          <w:bCs/>
        </w:rPr>
        <w:t xml:space="preserve">1. </w:t>
      </w:r>
      <w:r>
        <w:t xml:space="preserve">Each Prosecution Count Counsel shall independently file, no later than the end of Week 2, the evidence to be introduced in support of their count, identifying:</w:t>
      </w:r>
    </w:p>
    <w:p>
      <w:pPr>
        <w:spacing w:after="100" w:line="300"/>
        <w:ind w:left="600" w:hanging="300"/>
        <w:jc w:val="both"/>
      </w:pPr>
      <w:r>
        <w:rPr>
          <w:b/>
          <w:bCs/>
        </w:rPr>
        <w:t xml:space="preserve">(a) </w:t>
      </w:r>
      <w:r>
        <w:t xml:space="preserve">The specific evidence to be introduced, and the element of the charge each item supports;</w:t>
      </w:r>
    </w:p>
    <w:p>
      <w:pPr>
        <w:spacing w:after="100" w:line="300"/>
        <w:ind w:left="600" w:hanging="300"/>
        <w:jc w:val="both"/>
      </w:pPr>
      <w:r>
        <w:rPr>
          <w:b/>
          <w:bCs/>
        </w:rPr>
        <w:t xml:space="preserve">(b) </w:t>
      </w:r>
      <w:r>
        <w:t xml:space="preserve">Any anticipated admissibility challenges and the Prosecution's response to them;</w:t>
      </w:r>
    </w:p>
    <w:p>
      <w:pPr>
        <w:spacing w:after="100" w:line="300"/>
        <w:ind w:left="600" w:hanging="300"/>
        <w:jc w:val="both"/>
      </w:pPr>
      <w:r>
        <w:rPr>
          <w:b/>
          <w:bCs/>
        </w:rPr>
        <w:t xml:space="preserve">(c) </w:t>
      </w:r>
      <w:r>
        <w:t xml:space="preserve">Any new developments in the record since Week 1.</w:t>
      </w:r>
    </w:p>
    <w:p>
      <w:pPr>
        <w:spacing w:after="100" w:before="240"/>
      </w:pPr>
      <w:r>
        <w:rPr>
          <w:b/>
          <w:bCs/>
          <w:sz w:val="22"/>
          <w:szCs w:val="22"/>
        </w:rPr>
        <w:t xml:space="preserve">Rule 17</w:t>
      </w:r>
      <w:r>
        <w:rPr>
          <w:b/>
          <w:bCs/>
          <w:sz w:val="22"/>
          <w:szCs w:val="22"/>
        </w:rPr>
        <w:t xml:space="preserve"> — Defence — Preliminary Motions</w:t>
      </w:r>
    </w:p>
    <w:p>
      <w:pPr>
        <w:spacing w:after="120" w:line="300"/>
        <w:ind w:left="300"/>
        <w:jc w:val="both"/>
      </w:pPr>
      <w:r>
        <w:rPr>
          <w:b/>
          <w:bCs/>
        </w:rPr>
        <w:t xml:space="preserve">1. </w:t>
      </w:r>
      <w:r>
        <w:t xml:space="preserve">Each Defence Count Counsel, for either the Voss Defence or the Dravic Defence, may independently file a preliminary motion no later than the end of Week 2, identifying:</w:t>
      </w:r>
    </w:p>
    <w:p>
      <w:pPr>
        <w:spacing w:after="100" w:line="300"/>
        <w:ind w:left="600" w:hanging="300"/>
        <w:jc w:val="both"/>
      </w:pPr>
      <w:r>
        <w:rPr>
          <w:b/>
          <w:bCs/>
        </w:rPr>
        <w:t xml:space="preserve">(a) </w:t>
      </w:r>
      <w:r>
        <w:t xml:space="preserve">The specific ground for the motion, such as jurisdiction, admissibility, or another procedural ground, and why it applies to that count and that client;</w:t>
      </w:r>
    </w:p>
    <w:p>
      <w:pPr>
        <w:spacing w:after="100" w:line="300"/>
        <w:ind w:left="600" w:hanging="300"/>
        <w:jc w:val="both"/>
      </w:pPr>
      <w:r>
        <w:rPr>
          <w:b/>
          <w:bCs/>
        </w:rPr>
        <w:t xml:space="preserve">(b) </w:t>
      </w:r>
      <w:r>
        <w:t xml:space="preserve">The legal basis for the motion, citing the specific provision of Mir law relied upon, and the application of that provision to the specific facts of the count;</w:t>
      </w:r>
    </w:p>
    <w:p>
      <w:pPr>
        <w:spacing w:after="100" w:line="300"/>
        <w:ind w:left="600" w:hanging="300"/>
        <w:jc w:val="both"/>
      </w:pPr>
      <w:r>
        <w:rPr>
          <w:b/>
          <w:bCs/>
        </w:rPr>
        <w:t xml:space="preserve">(c) </w:t>
      </w:r>
      <w:r>
        <w:t xml:space="preserve">The relief requested.</w:t>
      </w:r>
    </w:p>
    <w:p>
      <w:pPr>
        <w:spacing w:after="120" w:line="300"/>
        <w:ind w:left="300"/>
        <w:jc w:val="both"/>
      </w:pPr>
      <w:r>
        <w:rPr>
          <w:b/>
          <w:bCs/>
        </w:rPr>
        <w:t xml:space="preserve">2. </w:t>
      </w:r>
      <w:r>
        <w:t xml:space="preserve">A Defence Count Counsel is not required to file a motion where none is available on their count. Motions filed by one Defence team do not bind or apply to the other.</w:t>
      </w:r>
    </w:p>
    <w:p>
      <w:pPr>
        <w:spacing w:after="100" w:before="240"/>
      </w:pPr>
      <w:r>
        <w:rPr>
          <w:b/>
          <w:bCs/>
          <w:sz w:val="22"/>
          <w:szCs w:val="22"/>
        </w:rPr>
        <w:t xml:space="preserve">Rule 18</w:t>
      </w:r>
      <w:r>
        <w:rPr>
          <w:b/>
          <w:bCs/>
          <w:sz w:val="22"/>
          <w:szCs w:val="22"/>
        </w:rPr>
        <w:t xml:space="preserve"> — Bench — Preliminary Applications</w:t>
      </w:r>
    </w:p>
    <w:p>
      <w:pPr>
        <w:spacing w:after="120" w:line="300"/>
        <w:ind w:left="300"/>
        <w:jc w:val="both"/>
      </w:pPr>
      <w:r>
        <w:rPr>
          <w:b/>
          <w:bCs/>
        </w:rPr>
        <w:t xml:space="preserve">1. </w:t>
      </w:r>
      <w:r>
        <w:t xml:space="preserve">The Bench shall hear and decide any preliminary motions filed during Week 2 no later than the end of Week 3. Preliminary motions may address jurisdictional or admissibility challenges, applications to exclude evidence, applications for protective measures for witnesses, or any other procedural matter requiring resolution before the substantive proceedings.</w:t>
      </w:r>
    </w:p>
    <w:p>
      <w:pPr>
        <w:spacing w:after="120" w:line="300"/>
        <w:ind w:left="300"/>
        <w:jc w:val="both"/>
      </w:pPr>
      <w:r>
        <w:rPr>
          <w:b/>
          <w:bCs/>
        </w:rPr>
        <w:t xml:space="preserve">2. </w:t>
      </w:r>
      <w:r>
        <w:t xml:space="preserve">Associate Judges shall each rule on the motions arising from the counts assigned to them, in accordance with the case allocation set out in their Trial Guides, and shall state the legal basis for each ruling.</w:t>
      </w:r>
    </w:p>
    <w:p>
      <w:pPr>
        <w:spacing w:after="120" w:line="300"/>
        <w:ind w:left="300"/>
        <w:jc w:val="both"/>
      </w:pPr>
      <w:r>
        <w:rPr>
          <w:b/>
          <w:bCs/>
        </w:rPr>
        <w:t xml:space="preserve">3. </w:t>
      </w:r>
      <w:r>
        <w:t xml:space="preserve">A ruling on a preliminary motion is not a final judgment on the merits of any count. The Bench shall not express any view on guilt or innocence in ruling on a preliminary motion.</w:t>
      </w:r>
    </w:p>
    <w:p>
      <w:pPr>
        <w:spacing w:after="100" w:before="240"/>
      </w:pPr>
      <w:r>
        <w:rPr>
          <w:b/>
          <w:bCs/>
          <w:sz w:val="22"/>
          <w:szCs w:val="22"/>
        </w:rPr>
        <w:t xml:space="preserve">Rule 19</w:t>
      </w:r>
      <w:r>
        <w:rPr>
          <w:b/>
          <w:bCs/>
          <w:sz w:val="22"/>
          <w:szCs w:val="22"/>
        </w:rPr>
        <w:t xml:space="preserve"> — Examination of Witnesses — General Rules</w:t>
      </w:r>
    </w:p>
    <w:p>
      <w:pPr>
        <w:spacing w:after="120" w:line="300"/>
        <w:ind w:left="300"/>
        <w:jc w:val="both"/>
      </w:pPr>
      <w:r>
        <w:rPr>
          <w:b/>
          <w:bCs/>
        </w:rPr>
        <w:t xml:space="preserve">1. </w:t>
      </w:r>
      <w:r>
        <w:t xml:space="preserve">Witnesses are examined in the following order: examination-in-chief by the party calling the witness; cross-examination by the opposing party; re-examination by the party that called the witness; questions from the Bench.</w:t>
      </w:r>
    </w:p>
    <w:p>
      <w:pPr>
        <w:spacing w:after="120" w:line="300"/>
        <w:ind w:left="300"/>
        <w:jc w:val="both"/>
      </w:pPr>
      <w:r>
        <w:rPr>
          <w:b/>
          <w:bCs/>
        </w:rPr>
        <w:t xml:space="preserve">2. </w:t>
      </w:r>
      <w:r>
        <w:t xml:space="preserve">Examination-in-chief shall not be conducted by way of leading questions except with the permission of the Presiding Judge.</w:t>
      </w:r>
    </w:p>
    <w:p>
      <w:pPr>
        <w:spacing w:after="120" w:line="300"/>
        <w:ind w:left="300"/>
        <w:jc w:val="both"/>
      </w:pPr>
      <w:r>
        <w:rPr>
          <w:b/>
          <w:bCs/>
        </w:rPr>
        <w:t xml:space="preserve">3. </w:t>
      </w:r>
      <w:r>
        <w:t xml:space="preserve">Cross-examination may be conducted by way of leading questions. Cross-examination shall be limited to matters raised in examination-in-chief and to matters going to the credibility of the witness.</w:t>
      </w:r>
    </w:p>
    <w:p>
      <w:pPr>
        <w:spacing w:after="120" w:line="300"/>
        <w:ind w:left="300"/>
        <w:jc w:val="both"/>
      </w:pPr>
      <w:r>
        <w:rPr>
          <w:b/>
          <w:bCs/>
        </w:rPr>
        <w:t xml:space="preserve">4. </w:t>
      </w:r>
      <w:r>
        <w:t xml:space="preserve">The Bench may ask questions of any witness at any time.</w:t>
      </w:r>
    </w:p>
    <w:p>
      <w:pPr>
        <w:spacing w:after="120" w:line="300"/>
        <w:ind w:left="300"/>
        <w:jc w:val="both"/>
      </w:pPr>
      <w:r>
        <w:rPr>
          <w:b/>
          <w:bCs/>
        </w:rPr>
        <w:t xml:space="preserve">5. </w:t>
      </w:r>
      <w:r>
        <w:t xml:space="preserve">AI-assisted witnesses are examined through the simulation webpage. Transcripts of AI-assisted witness examinations shall be submitted to Brightspace and form part of the official record.</w:t>
      </w:r>
    </w:p>
    <w:p>
      <w:pPr>
        <w:spacing w:after="100" w:before="240"/>
      </w:pPr>
      <w:r>
        <w:rPr>
          <w:b/>
          <w:bCs/>
          <w:sz w:val="22"/>
          <w:szCs w:val="22"/>
        </w:rPr>
        <w:t xml:space="preserve">Rule 20</w:t>
      </w:r>
      <w:r>
        <w:rPr>
          <w:b/>
          <w:bCs/>
          <w:sz w:val="22"/>
          <w:szCs w:val="22"/>
        </w:rPr>
        <w:t xml:space="preserve"> — Delegation and Analytical Submissions — Week 2</w:t>
      </w:r>
    </w:p>
    <w:p>
      <w:pPr>
        <w:spacing w:after="120" w:line="300"/>
        <w:jc w:val="both"/>
      </w:pPr>
      <w:r>
        <w:t xml:space="preserve">During Week 2 all delegation and analytical roles shall file the following:</w:t>
      </w:r>
    </w:p>
    <w:p>
      <w:pPr>
        <w:spacing w:after="60" w:before="160"/>
      </w:pPr>
      <w:r>
        <w:rPr>
          <w:b/>
          <w:bCs/>
        </w:rPr>
        <w:t xml:space="preserve">Legal Attachés (all states)</w:t>
      </w:r>
    </w:p>
    <w:p>
      <w:pPr>
        <w:spacing w:after="80" w:line="276"/>
        <w:ind w:left="300"/>
        <w:jc w:val="both"/>
      </w:pPr>
      <w:r>
        <w:t xml:space="preserve">→ </w:t>
      </w:r>
      <w:r>
        <w:t xml:space="preserve">File a Week 2 State Observation responding to any developments in the proceedings, including the Week 1 opening filings.</w:t>
      </w:r>
    </w:p>
    <w:p>
      <w:pPr>
        <w:spacing w:after="60" w:before="160"/>
      </w:pPr>
      <w:r>
        <w:rPr>
          <w:b/>
          <w:bCs/>
        </w:rPr>
        <w:t xml:space="preserve">Political Observers (all states)</w:t>
      </w:r>
    </w:p>
    <w:p>
      <w:pPr>
        <w:spacing w:after="80" w:line="276"/>
        <w:ind w:left="300"/>
        <w:jc w:val="both"/>
      </w:pPr>
      <w:r>
        <w:t xml:space="preserve">→ </w:t>
      </w:r>
      <w:r>
        <w:t xml:space="preserve">File a Week 2 Political Analysis, and coordinate the finalization of the shared survey instrument as specified in the Political Analysis Reports Writing Resource.</w:t>
      </w:r>
    </w:p>
    <w:p>
      <w:pPr>
        <w:spacing w:after="60" w:before="160"/>
      </w:pPr>
      <w:r>
        <w:rPr>
          <w:b/>
          <w:bCs/>
        </w:rPr>
        <w:t xml:space="preserve">VWR (all four roles)</w:t>
      </w:r>
    </w:p>
    <w:p>
      <w:pPr>
        <w:spacing w:after="80" w:line="276"/>
        <w:ind w:left="300"/>
        <w:jc w:val="both"/>
      </w:pPr>
      <w:r>
        <w:t xml:space="preserve">→ </w:t>
      </w:r>
      <w:r>
        <w:t xml:space="preserve">File the Week 2 factual development submission specified in each role's own Trial Guide.</w:t>
      </w:r>
    </w:p>
    <w:p>
      <w:pPr>
        <w:spacing w:after="60" w:before="160"/>
      </w:pPr>
      <w:r>
        <w:rPr>
          <w:b/>
          <w:bCs/>
        </w:rPr>
        <w:t xml:space="preserve">Sovereignty and Jurisdiction Analyst</w:t>
      </w:r>
    </w:p>
    <w:p>
      <w:pPr>
        <w:spacing w:after="80" w:line="276"/>
        <w:ind w:left="300"/>
        <w:jc w:val="both"/>
      </w:pPr>
      <w:r>
        <w:t xml:space="preserve">→ </w:t>
      </w:r>
      <w:r>
        <w:t xml:space="preserve">File a Week 2 Analysis evaluating the Week 1 opening filings.</w:t>
      </w:r>
    </w:p>
    <w:p>
      <w:pPr>
        <w:spacing w:after="60" w:before="160"/>
      </w:pPr>
      <w:r>
        <w:rPr>
          <w:b/>
          <w:bCs/>
        </w:rPr>
        <w:t xml:space="preserve">Historical and Contextual Analyst</w:t>
      </w:r>
    </w:p>
    <w:p>
      <w:pPr>
        <w:spacing w:after="80" w:line="276"/>
        <w:ind w:left="300"/>
        <w:jc w:val="both"/>
      </w:pPr>
      <w:r>
        <w:t xml:space="preserve">→ </w:t>
      </w:r>
      <w:r>
        <w:t xml:space="preserve">File a Week 2 Analysis evaluating the Week 1 opening filings.</w:t>
      </w:r>
    </w:p>
    <w:p>
      <w:pPr>
        <w:spacing w:after="60" w:before="160"/>
      </w:pPr>
      <w:r>
        <w:rPr>
          <w:b/>
          <w:bCs/>
        </w:rPr>
        <w:t xml:space="preserve">Norm and Justice Analyst</w:t>
      </w:r>
    </w:p>
    <w:p>
      <w:pPr>
        <w:spacing w:after="80" w:line="276"/>
        <w:ind w:left="300"/>
        <w:jc w:val="both"/>
      </w:pPr>
      <w:r>
        <w:t xml:space="preserve">→ </w:t>
      </w:r>
      <w:r>
        <w:t xml:space="preserve">File a Week 2 Analysis evaluating the Week 1 opening filings.</w:t>
      </w:r>
    </w:p>
    <w:p>
      <w:pPr>
        <w:spacing w:after="60" w:before="160"/>
      </w:pPr>
      <w:r>
        <w:rPr>
          <w:b/>
          <w:bCs/>
        </w:rPr>
        <w:t xml:space="preserve">Command Responsibility Brief (Amicus)</w:t>
      </w:r>
    </w:p>
    <w:p>
      <w:pPr>
        <w:spacing w:after="80" w:line="276"/>
        <w:ind w:left="300"/>
        <w:jc w:val="both"/>
      </w:pPr>
      <w:r>
        <w:t xml:space="preserve">→ </w:t>
      </w:r>
      <w:r>
        <w:t xml:space="preserve">File an Amicus Brief on the applicable standards of command responsibility under the HCM Statute, examining how those standards apply to the roles of Voss and Dravic.</w:t>
      </w:r>
    </w:p>
    <w:p>
      <w:pPr>
        <w:pBdr>
          <w:bottom w:val="single" w:color="1B3A6B" w:sz="8" w:space="6"/>
        </w:pBdr>
        <w:spacing w:after="160" w:before="360"/>
      </w:pPr>
      <w:r>
        <w:rPr>
          <w:b/>
          <w:bCs/>
          <w:color w:val="1B3A6B"/>
          <w:sz w:val="24"/>
          <w:szCs w:val="24"/>
        </w:rPr>
        <w:t xml:space="preserve">PART IV — WEEK 3: PROSECUTION CASE</w:t>
      </w:r>
    </w:p>
    <w:p>
      <w:pPr>
        <w:spacing w:after="200" w:line="300"/>
        <w:jc w:val="both"/>
      </w:pPr>
      <w:r>
        <w:rPr>
          <w:i/>
          <w:iCs/>
          <w:color w:val="4A4A4A"/>
        </w:rPr>
        <w:t xml:space="preserve">Week 3 is the Prosecution's case. The Bench rules on the Week 2 preliminary motions. Each Prosecution Count Counsel files the full case on their count. Each Defence Count Counsel files a preliminary response previewing its challenge; this is not yet the Defence's full case, which follows in Week 4.</w:t>
      </w:r>
    </w:p>
    <w:p>
      <w:pPr>
        <w:spacing w:after="100" w:before="240"/>
      </w:pPr>
      <w:r>
        <w:rPr>
          <w:b/>
          <w:bCs/>
          <w:sz w:val="22"/>
          <w:szCs w:val="22"/>
        </w:rPr>
        <w:t xml:space="preserve">Rule 21</w:t>
      </w:r>
      <w:r>
        <w:rPr>
          <w:b/>
          <w:bCs/>
          <w:sz w:val="22"/>
          <w:szCs w:val="22"/>
        </w:rPr>
        <w:t xml:space="preserve"> — Bench — Motion Rulings</w:t>
      </w:r>
    </w:p>
    <w:p>
      <w:pPr>
        <w:spacing w:after="120" w:line="300"/>
        <w:ind w:left="300"/>
        <w:jc w:val="both"/>
      </w:pPr>
      <w:r>
        <w:rPr>
          <w:b/>
          <w:bCs/>
        </w:rPr>
        <w:t xml:space="preserve">1. </w:t>
      </w:r>
      <w:r>
        <w:t xml:space="preserve">The Bench shall issue its rulings on the Week 2 preliminary motions no later than the end of Week 3, stating the legal basis for each ruling on each motion.</w:t>
      </w:r>
    </w:p>
    <w:p>
      <w:pPr>
        <w:spacing w:after="120" w:line="300"/>
        <w:ind w:left="300"/>
        <w:jc w:val="both"/>
      </w:pPr>
      <w:r>
        <w:rPr>
          <w:b/>
          <w:bCs/>
        </w:rPr>
        <w:t xml:space="preserve">2. </w:t>
      </w:r>
      <w:r>
        <w:t xml:space="preserve">Associate Judges shall file their rulings on the motions arising from the counts assigned to them.</w:t>
      </w:r>
    </w:p>
    <w:p>
      <w:pPr>
        <w:spacing w:after="100" w:before="240"/>
      </w:pPr>
      <w:r>
        <w:rPr>
          <w:b/>
          <w:bCs/>
          <w:sz w:val="22"/>
          <w:szCs w:val="22"/>
        </w:rPr>
        <w:t xml:space="preserve">Rule 22</w:t>
      </w:r>
      <w:r>
        <w:rPr>
          <w:b/>
          <w:bCs/>
          <w:sz w:val="22"/>
          <w:szCs w:val="22"/>
        </w:rPr>
        <w:t xml:space="preserve"> — Prosecution — Full Case</w:t>
      </w:r>
    </w:p>
    <w:p>
      <w:pPr>
        <w:spacing w:after="120" w:line="300"/>
        <w:ind w:left="300"/>
        <w:jc w:val="both"/>
      </w:pPr>
      <w:r>
        <w:rPr>
          <w:b/>
          <w:bCs/>
        </w:rPr>
        <w:t xml:space="preserve">1. </w:t>
      </w:r>
      <w:r>
        <w:t xml:space="preserve">Each Prosecution Count Counsel shall independently file the full case on their assigned count no later than the end of Week 3, addressing each element of the charge in turn, applying the evidence to each element, and addressing the individual criminal responsibility of each accused under Articles 23 and 24 of the Statute.</w:t>
      </w:r>
    </w:p>
    <w:p>
      <w:pPr>
        <w:spacing w:after="120" w:line="300"/>
        <w:ind w:left="300"/>
        <w:jc w:val="both"/>
      </w:pPr>
      <w:r>
        <w:rPr>
          <w:b/>
          <w:bCs/>
        </w:rPr>
        <w:t xml:space="preserve">2. </w:t>
      </w:r>
      <w:r>
        <w:t xml:space="preserve">Evidence shall be formally introduced by the Count Counsel filing it, identified by an exhibit reference, and is subject to any admissibility ruling issued under Rule 21.</w:t>
      </w:r>
    </w:p>
    <w:p>
      <w:pPr>
        <w:spacing w:after="100" w:before="240"/>
      </w:pPr>
      <w:r>
        <w:rPr>
          <w:b/>
          <w:bCs/>
          <w:sz w:val="22"/>
          <w:szCs w:val="22"/>
        </w:rPr>
        <w:t xml:space="preserve">Rule 23</w:t>
      </w:r>
      <w:r>
        <w:rPr>
          <w:b/>
          <w:bCs/>
          <w:sz w:val="22"/>
          <w:szCs w:val="22"/>
        </w:rPr>
        <w:t xml:space="preserve"> — Defence — Preliminary Response</w:t>
      </w:r>
    </w:p>
    <w:p>
      <w:pPr>
        <w:spacing w:after="120" w:line="300"/>
        <w:ind w:left="300"/>
        <w:jc w:val="both"/>
      </w:pPr>
      <w:r>
        <w:rPr>
          <w:b/>
          <w:bCs/>
        </w:rPr>
        <w:t xml:space="preserve">1. </w:t>
      </w:r>
      <w:r>
        <w:t xml:space="preserve">Each Defence Count Counsel, for both the Voss Defence and the Dravic Defence, shall independently file a preliminary response no later than the end of Week 3, previewing the Defence's challenge to the Prosecution's anticipated case on that count. This is not a complete element-by-element response; the Defence's full case is filed in Week 4.</w:t>
      </w:r>
    </w:p>
    <w:p>
      <w:pPr>
        <w:spacing w:after="100" w:before="240"/>
      </w:pPr>
      <w:r>
        <w:rPr>
          <w:b/>
          <w:bCs/>
          <w:sz w:val="22"/>
          <w:szCs w:val="22"/>
        </w:rPr>
        <w:t xml:space="preserve">Rule 24</w:t>
      </w:r>
      <w:r>
        <w:rPr>
          <w:b/>
          <w:bCs/>
          <w:sz w:val="22"/>
          <w:szCs w:val="22"/>
        </w:rPr>
        <w:t xml:space="preserve"> — Delegation and Analytical Submissions — Week 3</w:t>
      </w:r>
    </w:p>
    <w:p>
      <w:pPr>
        <w:spacing w:after="120" w:line="300"/>
        <w:jc w:val="both"/>
      </w:pPr>
      <w:r>
        <w:t xml:space="preserve">During Week 3 all delegation and analytical roles shall file the following:</w:t>
      </w:r>
    </w:p>
    <w:p>
      <w:pPr>
        <w:spacing w:after="60" w:before="160"/>
      </w:pPr>
      <w:r>
        <w:rPr>
          <w:b/>
          <w:bCs/>
        </w:rPr>
        <w:t xml:space="preserve">Legal Attachés (all states)</w:t>
      </w:r>
    </w:p>
    <w:p>
      <w:pPr>
        <w:spacing w:after="80" w:line="276"/>
        <w:ind w:left="300"/>
        <w:jc w:val="both"/>
      </w:pPr>
      <w:r>
        <w:t xml:space="preserve">→ </w:t>
      </w:r>
      <w:r>
        <w:t xml:space="preserve">File a Week 3 State Observation responding to the Week 2 motions and evidence.</w:t>
      </w:r>
    </w:p>
    <w:p>
      <w:pPr>
        <w:spacing w:after="60" w:before="160"/>
      </w:pPr>
      <w:r>
        <w:rPr>
          <w:b/>
          <w:bCs/>
        </w:rPr>
        <w:t xml:space="preserve">Political Observers (all states)</w:t>
      </w:r>
    </w:p>
    <w:p>
      <w:pPr>
        <w:spacing w:after="80" w:line="276"/>
        <w:ind w:left="300"/>
        <w:jc w:val="both"/>
      </w:pPr>
      <w:r>
        <w:t xml:space="preserve">→ </w:t>
      </w:r>
      <w:r>
        <w:t xml:space="preserve">File a Week 3 Political Analysis. The shared survey instrument is fielded this week.</w:t>
      </w:r>
    </w:p>
    <w:p>
      <w:pPr>
        <w:spacing w:after="60" w:before="160"/>
      </w:pPr>
      <w:r>
        <w:rPr>
          <w:b/>
          <w:bCs/>
        </w:rPr>
        <w:t xml:space="preserve">VWR (all four roles)</w:t>
      </w:r>
    </w:p>
    <w:p>
      <w:pPr>
        <w:spacing w:after="80" w:line="276"/>
        <w:ind w:left="300"/>
        <w:jc w:val="both"/>
      </w:pPr>
      <w:r>
        <w:t xml:space="preserve">→ </w:t>
      </w:r>
      <w:r>
        <w:t xml:space="preserve">File the Week 3 submission specified in each role's own Trial Guide. For Lead Victims' Counsel, Reparations Counsel, and Displacement and Return Counsel, this is their most substantive submission of the trial. For Witness Counsel, this is the first fact-check responding to the Week 2 motions and evidence.</w:t>
      </w:r>
    </w:p>
    <w:p>
      <w:pPr>
        <w:spacing w:after="60" w:before="160"/>
      </w:pPr>
      <w:r>
        <w:rPr>
          <w:b/>
          <w:bCs/>
        </w:rPr>
        <w:t xml:space="preserve">Sovereignty and Jurisdiction Analyst</w:t>
      </w:r>
    </w:p>
    <w:p>
      <w:pPr>
        <w:spacing w:after="80" w:line="276"/>
        <w:ind w:left="300"/>
        <w:jc w:val="both"/>
      </w:pPr>
      <w:r>
        <w:t xml:space="preserve">→ </w:t>
      </w:r>
      <w:r>
        <w:t xml:space="preserve">File a Week 3 Analysis evaluating the Week 2 motions and evidence.</w:t>
      </w:r>
    </w:p>
    <w:p>
      <w:pPr>
        <w:spacing w:after="60" w:before="160"/>
      </w:pPr>
      <w:r>
        <w:rPr>
          <w:b/>
          <w:bCs/>
        </w:rPr>
        <w:t xml:space="preserve">Historical and Contextual Analyst</w:t>
      </w:r>
    </w:p>
    <w:p>
      <w:pPr>
        <w:spacing w:after="80" w:line="276"/>
        <w:ind w:left="300"/>
        <w:jc w:val="both"/>
      </w:pPr>
      <w:r>
        <w:t xml:space="preserve">→ </w:t>
      </w:r>
      <w:r>
        <w:t xml:space="preserve">File a Week 3 Analysis evaluating the Week 2 motions and evidence.</w:t>
      </w:r>
    </w:p>
    <w:p>
      <w:pPr>
        <w:spacing w:after="60" w:before="160"/>
      </w:pPr>
      <w:r>
        <w:rPr>
          <w:b/>
          <w:bCs/>
        </w:rPr>
        <w:t xml:space="preserve">Norm and Justice Analyst</w:t>
      </w:r>
    </w:p>
    <w:p>
      <w:pPr>
        <w:spacing w:after="80" w:line="276"/>
        <w:ind w:left="300"/>
        <w:jc w:val="both"/>
      </w:pPr>
      <w:r>
        <w:t xml:space="preserve">→ </w:t>
      </w:r>
      <w:r>
        <w:t xml:space="preserve">File a Week 3 Analysis evaluating the Week 2 motions and evidence.</w:t>
      </w:r>
    </w:p>
    <w:p>
      <w:pPr>
        <w:spacing w:after="60" w:before="160"/>
      </w:pPr>
      <w:r>
        <w:rPr>
          <w:b/>
          <w:bCs/>
        </w:rPr>
        <w:t xml:space="preserve">Nuclear Weapons Brief (Amicus)</w:t>
      </w:r>
    </w:p>
    <w:p>
      <w:pPr>
        <w:spacing w:after="80" w:line="276"/>
        <w:ind w:left="300"/>
        <w:jc w:val="both"/>
      </w:pPr>
      <w:r>
        <w:t xml:space="preserve">→ </w:t>
      </w:r>
      <w:r>
        <w:t xml:space="preserve">File a supplementary Amicus Brief responding to the Week 2 motions and evidence.</w:t>
      </w:r>
    </w:p>
    <w:p>
      <w:pPr>
        <w:pBdr>
          <w:bottom w:val="single" w:color="1B3A6B" w:sz="8" w:space="6"/>
        </w:pBdr>
        <w:spacing w:after="160" w:before="360"/>
      </w:pPr>
      <w:r>
        <w:rPr>
          <w:b/>
          <w:bCs/>
          <w:color w:val="1B3A6B"/>
          <w:sz w:val="24"/>
          <w:szCs w:val="24"/>
        </w:rPr>
        <w:t xml:space="preserve">PART V — WEEK 4: DEFENCE CASE</w:t>
      </w:r>
    </w:p>
    <w:p>
      <w:pPr>
        <w:spacing w:after="200" w:line="300"/>
        <w:jc w:val="both"/>
      </w:pPr>
      <w:r>
        <w:rPr>
          <w:i/>
          <w:iCs/>
          <w:color w:val="4A4A4A"/>
        </w:rPr>
        <w:t xml:space="preserve">Week 4 is the Defence's case. Each Prosecution Count Counsel files a rebuttal responding to the Defence's anticipated position. Each Defence Count Counsel, for both the Voss Defence and the Dravic Defence, files the full case on their count, this being the first complete element-by-element response. The Bench issues its prima facie assessment.</w:t>
      </w:r>
    </w:p>
    <w:p>
      <w:pPr>
        <w:spacing w:after="100" w:before="240"/>
      </w:pPr>
      <w:r>
        <w:rPr>
          <w:b/>
          <w:bCs/>
          <w:sz w:val="22"/>
          <w:szCs w:val="22"/>
        </w:rPr>
        <w:t xml:space="preserve">Rule 25</w:t>
      </w:r>
      <w:r>
        <w:rPr>
          <w:b/>
          <w:bCs/>
          <w:sz w:val="22"/>
          <w:szCs w:val="22"/>
        </w:rPr>
        <w:t xml:space="preserve"> — Prosecution — Rebuttal</w:t>
      </w:r>
    </w:p>
    <w:p>
      <w:pPr>
        <w:spacing w:after="120" w:line="300"/>
        <w:ind w:left="300"/>
        <w:jc w:val="both"/>
      </w:pPr>
      <w:r>
        <w:rPr>
          <w:b/>
          <w:bCs/>
        </w:rPr>
        <w:t xml:space="preserve">1. </w:t>
      </w:r>
      <w:r>
        <w:t xml:space="preserve">Each Prosecution Count Counsel shall independently file a rebuttal no later than the end of Week 4, identifying the Defence's anticipated position on that count, its issue and rule, and why the Prosecution's application shows that position fails or the Prosecution's case holds.</w:t>
      </w:r>
    </w:p>
    <w:p>
      <w:pPr>
        <w:spacing w:after="100" w:before="240"/>
      </w:pPr>
      <w:r>
        <w:rPr>
          <w:b/>
          <w:bCs/>
          <w:sz w:val="22"/>
          <w:szCs w:val="22"/>
        </w:rPr>
        <w:t xml:space="preserve">Rule 26</w:t>
      </w:r>
      <w:r>
        <w:rPr>
          <w:b/>
          <w:bCs/>
          <w:sz w:val="22"/>
          <w:szCs w:val="22"/>
        </w:rPr>
        <w:t xml:space="preserve"> — Defence — Full Case</w:t>
      </w:r>
    </w:p>
    <w:p>
      <w:pPr>
        <w:spacing w:after="120" w:line="300"/>
        <w:ind w:left="300"/>
        <w:jc w:val="both"/>
      </w:pPr>
      <w:r>
        <w:rPr>
          <w:b/>
          <w:bCs/>
        </w:rPr>
        <w:t xml:space="preserve">1. </w:t>
      </w:r>
      <w:r>
        <w:t xml:space="preserve">Each Defence Count Counsel, for both the Voss Defence and the Dravic Defence, shall independently file the full case on their assigned count no later than the end of Week 4. This is the Defence's first complete element-by-element response, and shall address, as applicable to that count and that client:</w:t>
      </w:r>
    </w:p>
    <w:p>
      <w:pPr>
        <w:spacing w:after="100" w:line="300"/>
        <w:ind w:left="600" w:hanging="300"/>
        <w:jc w:val="both"/>
      </w:pPr>
      <w:r>
        <w:rPr>
          <w:b/>
          <w:bCs/>
        </w:rPr>
        <w:t xml:space="preserve">(a) </w:t>
      </w:r>
      <w:r>
        <w:t xml:space="preserve">The legal framework governing self-defence, anticipatory self-defence, military necessity, and the Belogal reservation under Annex I of the MCWC, where relevant;</w:t>
      </w:r>
    </w:p>
    <w:p>
      <w:pPr>
        <w:spacing w:after="100" w:line="300"/>
        <w:ind w:left="600" w:hanging="300"/>
        <w:jc w:val="both"/>
      </w:pPr>
      <w:r>
        <w:rPr>
          <w:b/>
          <w:bCs/>
        </w:rPr>
        <w:t xml:space="preserve">(b) </w:t>
      </w:r>
      <w:r>
        <w:t xml:space="preserve">The factual record, including intelligence assessments, military context, and the circumstances of the nuclear strike;</w:t>
      </w:r>
    </w:p>
    <w:p>
      <w:pPr>
        <w:spacing w:after="100" w:line="300"/>
        <w:ind w:left="600" w:hanging="300"/>
        <w:jc w:val="both"/>
      </w:pPr>
      <w:r>
        <w:rPr>
          <w:b/>
          <w:bCs/>
        </w:rPr>
        <w:t xml:space="preserve">(c) </w:t>
      </w:r>
      <w:r>
        <w:t xml:space="preserve">The individual criminal responsibility of that accused under Articles 23 and 24 of the Statute, including any argument that the accused's conduct does not meet the standard for command responsibility.</w:t>
      </w:r>
    </w:p>
    <w:p>
      <w:pPr>
        <w:spacing w:after="120" w:line="300"/>
        <w:ind w:left="300"/>
        <w:jc w:val="both"/>
      </w:pPr>
      <w:r>
        <w:rPr>
          <w:b/>
          <w:bCs/>
        </w:rPr>
        <w:t xml:space="preserve">2. </w:t>
      </w:r>
      <w:r>
        <w:t xml:space="preserve">The Voss Defence and Dravic Defence file independently and are not required to adopt a common theory of defence.</w:t>
      </w:r>
    </w:p>
    <w:p>
      <w:pPr>
        <w:spacing w:after="100" w:before="240"/>
      </w:pPr>
      <w:r>
        <w:rPr>
          <w:b/>
          <w:bCs/>
          <w:sz w:val="22"/>
          <w:szCs w:val="22"/>
        </w:rPr>
        <w:t xml:space="preserve">Rule 27</w:t>
      </w:r>
      <w:r>
        <w:rPr>
          <w:b/>
          <w:bCs/>
          <w:sz w:val="22"/>
          <w:szCs w:val="22"/>
        </w:rPr>
        <w:t xml:space="preserve"> — Bench — Prima Facie Assessment</w:t>
      </w:r>
    </w:p>
    <w:p>
      <w:pPr>
        <w:spacing w:after="120" w:line="300"/>
        <w:ind w:left="300"/>
        <w:jc w:val="both"/>
      </w:pPr>
      <w:r>
        <w:rPr>
          <w:b/>
          <w:bCs/>
        </w:rPr>
        <w:t xml:space="preserve">1. </w:t>
      </w:r>
      <w:r>
        <w:t xml:space="preserve">The Presiding Judge and Associate Judges shall each file a prima facie assessment on the counts assigned to them no later than the end of Week 4, based on the Prosecution's full case and the Defence's preliminary response filed in Week 3.</w:t>
      </w:r>
    </w:p>
    <w:p>
      <w:pPr>
        <w:spacing w:after="100" w:before="240"/>
      </w:pPr>
      <w:r>
        <w:rPr>
          <w:b/>
          <w:bCs/>
          <w:sz w:val="22"/>
          <w:szCs w:val="22"/>
        </w:rPr>
        <w:t xml:space="preserve">Rule 28</w:t>
      </w:r>
      <w:r>
        <w:rPr>
          <w:b/>
          <w:bCs/>
          <w:sz w:val="22"/>
          <w:szCs w:val="22"/>
        </w:rPr>
        <w:t xml:space="preserve"> — Delegation and Analytical Submissions — Week 4</w:t>
      </w:r>
    </w:p>
    <w:p>
      <w:pPr>
        <w:spacing w:after="120" w:line="300"/>
        <w:jc w:val="both"/>
      </w:pPr>
      <w:r>
        <w:t xml:space="preserve">During Week 4 all delegation and analytical roles shall file the following:</w:t>
      </w:r>
    </w:p>
    <w:p>
      <w:pPr>
        <w:spacing w:after="60" w:before="160"/>
      </w:pPr>
      <w:r>
        <w:rPr>
          <w:b/>
          <w:bCs/>
        </w:rPr>
        <w:t xml:space="preserve">Legal Attachés (all states)</w:t>
      </w:r>
    </w:p>
    <w:p>
      <w:pPr>
        <w:spacing w:after="80" w:line="276"/>
        <w:ind w:left="300"/>
        <w:jc w:val="both"/>
      </w:pPr>
      <w:r>
        <w:t xml:space="preserve">→ </w:t>
      </w:r>
      <w:r>
        <w:t xml:space="preserve">File a Week 4 State Observation responding to the Prosecution's full case.</w:t>
      </w:r>
    </w:p>
    <w:p>
      <w:pPr>
        <w:spacing w:after="60" w:before="160"/>
      </w:pPr>
      <w:r>
        <w:rPr>
          <w:b/>
          <w:bCs/>
        </w:rPr>
        <w:t xml:space="preserve">Political Observers (all states)</w:t>
      </w:r>
    </w:p>
    <w:p>
      <w:pPr>
        <w:spacing w:after="80" w:line="276"/>
        <w:ind w:left="300"/>
        <w:jc w:val="both"/>
      </w:pPr>
      <w:r>
        <w:t xml:space="preserve">→ </w:t>
      </w:r>
      <w:r>
        <w:t xml:space="preserve">File a Week 4 Political Analysis integrating survey analysis with an evaluation of the Prosecution's case.</w:t>
      </w:r>
    </w:p>
    <w:p>
      <w:pPr>
        <w:spacing w:after="60" w:before="160"/>
      </w:pPr>
      <w:r>
        <w:rPr>
          <w:b/>
          <w:bCs/>
        </w:rPr>
        <w:t xml:space="preserve">VWR (all four roles)</w:t>
      </w:r>
    </w:p>
    <w:p>
      <w:pPr>
        <w:spacing w:after="80" w:line="276"/>
        <w:ind w:left="300"/>
        <w:jc w:val="both"/>
      </w:pPr>
      <w:r>
        <w:t xml:space="preserve">→ </w:t>
      </w:r>
      <w:r>
        <w:t xml:space="preserve">File a response to the Prosecution's full case, as specified in each role's own Trial Guide.</w:t>
      </w:r>
    </w:p>
    <w:p>
      <w:pPr>
        <w:spacing w:after="60" w:before="160"/>
      </w:pPr>
      <w:r>
        <w:rPr>
          <w:b/>
          <w:bCs/>
        </w:rPr>
        <w:t xml:space="preserve">Sovereignty and Jurisdiction Analyst</w:t>
      </w:r>
    </w:p>
    <w:p>
      <w:pPr>
        <w:spacing w:after="80" w:line="276"/>
        <w:ind w:left="300"/>
        <w:jc w:val="both"/>
      </w:pPr>
      <w:r>
        <w:t xml:space="preserve">→ </w:t>
      </w:r>
      <w:r>
        <w:t xml:space="preserve">File a Week 4 Analysis evaluating the Prosecution's full case.</w:t>
      </w:r>
    </w:p>
    <w:p>
      <w:pPr>
        <w:spacing w:after="60" w:before="160"/>
      </w:pPr>
      <w:r>
        <w:rPr>
          <w:b/>
          <w:bCs/>
        </w:rPr>
        <w:t xml:space="preserve">Historical and Contextual Analyst</w:t>
      </w:r>
    </w:p>
    <w:p>
      <w:pPr>
        <w:spacing w:after="80" w:line="276"/>
        <w:ind w:left="300"/>
        <w:jc w:val="both"/>
      </w:pPr>
      <w:r>
        <w:t xml:space="preserve">→ </w:t>
      </w:r>
      <w:r>
        <w:t xml:space="preserve">File a Week 4 Analysis evaluating the Prosecution's full case.</w:t>
      </w:r>
    </w:p>
    <w:p>
      <w:pPr>
        <w:spacing w:after="60" w:before="160"/>
      </w:pPr>
      <w:r>
        <w:rPr>
          <w:b/>
          <w:bCs/>
        </w:rPr>
        <w:t xml:space="preserve">Norm and Justice Analyst</w:t>
      </w:r>
    </w:p>
    <w:p>
      <w:pPr>
        <w:spacing w:after="80" w:line="276"/>
        <w:ind w:left="300"/>
        <w:jc w:val="both"/>
      </w:pPr>
      <w:r>
        <w:t xml:space="preserve">→ </w:t>
      </w:r>
      <w:r>
        <w:t xml:space="preserve">File a Week 4 Analysis evaluating the Prosecution's full case.</w:t>
      </w:r>
    </w:p>
    <w:p>
      <w:pPr>
        <w:spacing w:after="60" w:before="160"/>
      </w:pPr>
      <w:r>
        <w:rPr>
          <w:b/>
          <w:bCs/>
        </w:rPr>
        <w:t xml:space="preserve">Jurisdiction and Aggression Brief (Amicus)</w:t>
      </w:r>
    </w:p>
    <w:p>
      <w:pPr>
        <w:spacing w:after="80" w:line="276"/>
        <w:ind w:left="300"/>
        <w:jc w:val="both"/>
      </w:pPr>
      <w:r>
        <w:t xml:space="preserve">→ </w:t>
      </w:r>
      <w:r>
        <w:t xml:space="preserve">File a supplementary Amicus Brief evaluating the Prosecution's full case.</w:t>
      </w:r>
    </w:p>
    <w:p>
      <w:pPr>
        <w:pBdr>
          <w:bottom w:val="single" w:color="1B3A6B" w:sz="8" w:space="6"/>
        </w:pBdr>
        <w:spacing w:after="160" w:before="360"/>
      </w:pPr>
      <w:r>
        <w:rPr>
          <w:b/>
          <w:bCs/>
          <w:color w:val="1B3A6B"/>
          <w:sz w:val="24"/>
          <w:szCs w:val="24"/>
        </w:rPr>
        <w:t xml:space="preserve">PART VI — WEEK 5: CLOSING ARGUMENTS AND JUDGMENT</w:t>
      </w:r>
    </w:p>
    <w:p>
      <w:pPr>
        <w:spacing w:after="200" w:line="300"/>
        <w:jc w:val="both"/>
      </w:pPr>
      <w:r>
        <w:rPr>
          <w:i/>
          <w:iCs/>
          <w:color w:val="4A4A4A"/>
        </w:rPr>
        <w:t xml:space="preserve">Week 5 brings the proceedings to a close. Each Prosecution and each Defence Count Counsel files closing arguments responding to the Week 4 record. The Bench simultaneously deliberates and issues its Judgment based on the Week 4 record. Because closing arguments and the Judgment are filed the same week, the Bench does not have access to any party's closing arguments before issuing its ruling.</w:t>
      </w:r>
    </w:p>
    <w:p>
      <w:pPr>
        <w:spacing w:after="100" w:before="240"/>
      </w:pPr>
      <w:r>
        <w:rPr>
          <w:b/>
          <w:bCs/>
          <w:sz w:val="22"/>
          <w:szCs w:val="22"/>
        </w:rPr>
        <w:t xml:space="preserve">Rule 29</w:t>
      </w:r>
      <w:r>
        <w:rPr>
          <w:b/>
          <w:bCs/>
          <w:sz w:val="22"/>
          <w:szCs w:val="22"/>
        </w:rPr>
        <w:t xml:space="preserve"> — Closing Arguments</w:t>
      </w:r>
    </w:p>
    <w:p>
      <w:pPr>
        <w:spacing w:after="120" w:line="300"/>
        <w:ind w:left="300"/>
        <w:jc w:val="both"/>
      </w:pPr>
      <w:r>
        <w:rPr>
          <w:b/>
          <w:bCs/>
        </w:rPr>
        <w:t xml:space="preserve">1. </w:t>
      </w:r>
      <w:r>
        <w:t xml:space="preserve">Each Prosecution Count Counsel and each Defence Count Counsel, for both the Voss Defence and the Dravic Defence, shall independently file closing arguments no later than the end of Week 5. Closing arguments are the most substantial submissions of the trial. They shall:</w:t>
      </w:r>
    </w:p>
    <w:p>
      <w:pPr>
        <w:spacing w:after="100" w:line="300"/>
        <w:ind w:left="600" w:hanging="300"/>
        <w:jc w:val="both"/>
      </w:pPr>
      <w:r>
        <w:rPr>
          <w:b/>
          <w:bCs/>
        </w:rPr>
        <w:t xml:space="preserve">(a) </w:t>
      </w:r>
      <w:r>
        <w:t xml:space="preserve">Present the party's complete case on that count, drawing on all evidence and legal arguments advanced during the five weeks of proceedings;</w:t>
      </w:r>
    </w:p>
    <w:p>
      <w:pPr>
        <w:spacing w:after="100" w:line="300"/>
        <w:ind w:left="600" w:hanging="300"/>
        <w:jc w:val="both"/>
      </w:pPr>
      <w:r>
        <w:rPr>
          <w:b/>
          <w:bCs/>
        </w:rPr>
        <w:t xml:space="preserve">(b) </w:t>
      </w:r>
      <w:r>
        <w:t xml:space="preserve">Apply the complete legal framework to the facts as established by the record;</w:t>
      </w:r>
    </w:p>
    <w:p>
      <w:pPr>
        <w:spacing w:after="100" w:line="300"/>
        <w:ind w:left="600" w:hanging="300"/>
        <w:jc w:val="both"/>
      </w:pPr>
      <w:r>
        <w:rPr>
          <w:b/>
          <w:bCs/>
        </w:rPr>
        <w:t xml:space="preserve">(c) </w:t>
      </w:r>
      <w:r>
        <w:t xml:space="preserve">Address the standard of proof and explain why the evidence does or does not meet that standard;</w:t>
      </w:r>
    </w:p>
    <w:p>
      <w:pPr>
        <w:spacing w:after="100" w:line="300"/>
        <w:ind w:left="600" w:hanging="300"/>
        <w:jc w:val="both"/>
      </w:pPr>
      <w:r>
        <w:rPr>
          <w:b/>
          <w:bCs/>
        </w:rPr>
        <w:t xml:space="preserve">(d) </w:t>
      </w:r>
      <w:r>
        <w:t xml:space="preserve">Respond to the opposing party's Week 4 filing directly.</w:t>
      </w:r>
    </w:p>
    <w:p>
      <w:pPr>
        <w:spacing w:after="120" w:line="300"/>
        <w:ind w:left="300"/>
        <w:jc w:val="both"/>
      </w:pPr>
      <w:r>
        <w:rPr>
          <w:b/>
          <w:bCs/>
        </w:rPr>
        <w:t xml:space="preserve">2. </w:t>
      </w:r>
      <w:r>
        <w:t xml:space="preserve">The VWR roles shall each independently file their closing submission responding to the Defence's full case, as specified in their own Trial Guides.</w:t>
      </w:r>
    </w:p>
    <w:p>
      <w:pPr>
        <w:spacing w:after="100" w:before="240"/>
      </w:pPr>
      <w:r>
        <w:rPr>
          <w:b/>
          <w:bCs/>
          <w:sz w:val="22"/>
          <w:szCs w:val="22"/>
        </w:rPr>
        <w:t xml:space="preserve">Rule 30</w:t>
      </w:r>
      <w:r>
        <w:rPr>
          <w:b/>
          <w:bCs/>
          <w:sz w:val="22"/>
          <w:szCs w:val="22"/>
        </w:rPr>
        <w:t xml:space="preserve"> — The Judgment</w:t>
      </w:r>
    </w:p>
    <w:p>
      <w:pPr>
        <w:spacing w:after="120" w:line="300"/>
        <w:ind w:left="300"/>
        <w:jc w:val="both"/>
      </w:pPr>
      <w:r>
        <w:rPr>
          <w:b/>
          <w:bCs/>
        </w:rPr>
        <w:t xml:space="preserve">1. </w:t>
      </w:r>
      <w:r>
        <w:t xml:space="preserve">The Presiding Judge, following deliberation with the Associate Judges, shall assemble and file the collective Judgment of the Chamber no later than the end of Week 5, based on the record as it stood at the close of Week 4. The Judgment shall:</w:t>
      </w:r>
    </w:p>
    <w:p>
      <w:pPr>
        <w:spacing w:after="100" w:line="300"/>
        <w:ind w:left="600" w:hanging="300"/>
        <w:jc w:val="both"/>
      </w:pPr>
      <w:r>
        <w:rPr>
          <w:b/>
          <w:bCs/>
        </w:rPr>
        <w:t xml:space="preserve">(a) </w:t>
      </w:r>
      <w:r>
        <w:t xml:space="preserve">Address each count and reach a finding of guilty or not guilty on each count for each accused;</w:t>
      </w:r>
    </w:p>
    <w:p>
      <w:pPr>
        <w:spacing w:after="100" w:line="300"/>
        <w:ind w:left="600" w:hanging="300"/>
        <w:jc w:val="both"/>
      </w:pPr>
      <w:r>
        <w:rPr>
          <w:b/>
          <w:bCs/>
        </w:rPr>
        <w:t xml:space="preserve">(b) </w:t>
      </w:r>
      <w:r>
        <w:t xml:space="preserve">Set out the legal reasoning supporting each finding, with reference to the applicable instruments and the evidence;</w:t>
      </w:r>
    </w:p>
    <w:p>
      <w:pPr>
        <w:spacing w:after="100" w:line="300"/>
        <w:ind w:left="600" w:hanging="300"/>
        <w:jc w:val="both"/>
      </w:pPr>
      <w:r>
        <w:rPr>
          <w:b/>
          <w:bCs/>
        </w:rPr>
        <w:t xml:space="preserve">(c) </w:t>
      </w:r>
      <w:r>
        <w:t xml:space="preserve">Address the modes of liability of each accused found guilty;</w:t>
      </w:r>
    </w:p>
    <w:p>
      <w:pPr>
        <w:spacing w:after="100" w:line="300"/>
        <w:ind w:left="600" w:hanging="300"/>
        <w:jc w:val="both"/>
      </w:pPr>
      <w:r>
        <w:rPr>
          <w:b/>
          <w:bCs/>
        </w:rPr>
        <w:t xml:space="preserve">(d) </w:t>
      </w:r>
      <w:r>
        <w:t xml:space="preserve">Address reparations to victims in accordance with Article 28 of the Statute.</w:t>
      </w:r>
    </w:p>
    <w:p>
      <w:pPr>
        <w:spacing w:after="120" w:line="300"/>
        <w:ind w:left="300"/>
        <w:jc w:val="both"/>
      </w:pPr>
      <w:r>
        <w:rPr>
          <w:b/>
          <w:bCs/>
        </w:rPr>
        <w:t xml:space="preserve">2. </w:t>
      </w:r>
      <w:r>
        <w:t xml:space="preserve">Associate Judges shall each file an individual judicial opinion, which may be concurring or dissenting, setting out their own reasoning on the counts assigned to them.</w:t>
      </w:r>
    </w:p>
    <w:p>
      <w:pPr>
        <w:spacing w:after="120" w:line="300"/>
        <w:ind w:left="300"/>
        <w:jc w:val="both"/>
      </w:pPr>
      <w:r>
        <w:rPr>
          <w:b/>
          <w:bCs/>
        </w:rPr>
        <w:t xml:space="preserve">3. </w:t>
      </w:r>
      <w:r>
        <w:t xml:space="preserve">Because the Judgment is based on the Week 4 record and is filed the same week as closing arguments, the Judgment does not, and is not expected to, respond to any party's Week 5 closing argument.</w:t>
      </w:r>
    </w:p>
    <w:p>
      <w:pPr>
        <w:spacing w:after="100" w:before="240"/>
      </w:pPr>
      <w:r>
        <w:rPr>
          <w:b/>
          <w:bCs/>
          <w:sz w:val="22"/>
          <w:szCs w:val="22"/>
        </w:rPr>
        <w:t xml:space="preserve">Rule 31</w:t>
      </w:r>
      <w:r>
        <w:rPr>
          <w:b/>
          <w:bCs/>
          <w:sz w:val="22"/>
          <w:szCs w:val="22"/>
        </w:rPr>
        <w:t xml:space="preserve"> — Delegation and Analytical Submissions — Week 5</w:t>
      </w:r>
    </w:p>
    <w:p>
      <w:pPr>
        <w:spacing w:after="120" w:line="300"/>
        <w:jc w:val="both"/>
      </w:pPr>
      <w:r>
        <w:t xml:space="preserve">During Week 5 all delegation and analytical roles shall file the following:</w:t>
      </w:r>
    </w:p>
    <w:p>
      <w:pPr>
        <w:spacing w:after="60" w:before="160"/>
      </w:pPr>
      <w:r>
        <w:rPr>
          <w:b/>
          <w:bCs/>
        </w:rPr>
        <w:t xml:space="preserve">Legal Attachés (all states)</w:t>
      </w:r>
    </w:p>
    <w:p>
      <w:pPr>
        <w:spacing w:after="80" w:line="276"/>
        <w:ind w:left="300"/>
        <w:jc w:val="both"/>
      </w:pPr>
      <w:r>
        <w:t xml:space="preserve">→ </w:t>
      </w:r>
      <w:r>
        <w:t xml:space="preserve">File a final Week 5 State Observation setting out their state's position ahead of judgment.</w:t>
      </w:r>
    </w:p>
    <w:p>
      <w:pPr>
        <w:spacing w:after="60" w:before="160"/>
      </w:pPr>
      <w:r>
        <w:rPr>
          <w:b/>
          <w:bCs/>
        </w:rPr>
        <w:t xml:space="preserve">Political Observers (all states)</w:t>
      </w:r>
    </w:p>
    <w:p>
      <w:pPr>
        <w:spacing w:after="80" w:line="276"/>
        <w:ind w:left="300"/>
        <w:jc w:val="both"/>
      </w:pPr>
      <w:r>
        <w:t xml:space="preserve">→ </w:t>
      </w:r>
      <w:r>
        <w:t xml:space="preserve">File a final bot interaction report incorporating an evaluation of the Defence's full case.</w:t>
      </w:r>
    </w:p>
    <w:p>
      <w:pPr>
        <w:spacing w:after="60" w:before="160"/>
      </w:pPr>
      <w:r>
        <w:rPr>
          <w:b/>
          <w:bCs/>
        </w:rPr>
        <w:t xml:space="preserve">Sovereignty and Jurisdiction Analyst</w:t>
      </w:r>
    </w:p>
    <w:p>
      <w:pPr>
        <w:spacing w:after="80" w:line="276"/>
        <w:ind w:left="300"/>
        <w:jc w:val="both"/>
      </w:pPr>
      <w:r>
        <w:t xml:space="preserve">→ </w:t>
      </w:r>
      <w:r>
        <w:t xml:space="preserve">File a final Analysis evaluating the Defence's full case.</w:t>
      </w:r>
    </w:p>
    <w:p>
      <w:pPr>
        <w:spacing w:after="60" w:before="160"/>
      </w:pPr>
      <w:r>
        <w:rPr>
          <w:b/>
          <w:bCs/>
        </w:rPr>
        <w:t xml:space="preserve">Historical and Contextual Analyst</w:t>
      </w:r>
    </w:p>
    <w:p>
      <w:pPr>
        <w:spacing w:after="80" w:line="276"/>
        <w:ind w:left="300"/>
        <w:jc w:val="both"/>
      </w:pPr>
      <w:r>
        <w:t xml:space="preserve">→ </w:t>
      </w:r>
      <w:r>
        <w:t xml:space="preserve">File a final Analysis evaluating the Defence's full case.</w:t>
      </w:r>
    </w:p>
    <w:p>
      <w:pPr>
        <w:spacing w:after="60" w:before="160"/>
      </w:pPr>
      <w:r>
        <w:rPr>
          <w:b/>
          <w:bCs/>
        </w:rPr>
        <w:t xml:space="preserve">Norm and Justice Analyst</w:t>
      </w:r>
    </w:p>
    <w:p>
      <w:pPr>
        <w:spacing w:after="80" w:line="276"/>
        <w:ind w:left="300"/>
        <w:jc w:val="both"/>
      </w:pPr>
      <w:r>
        <w:t xml:space="preserve">→ </w:t>
      </w:r>
      <w:r>
        <w:t xml:space="preserve">File a final Analysis evaluating the Defence's full case.</w:t>
      </w:r>
    </w:p>
    <w:p>
      <w:pPr>
        <w:spacing w:after="60" w:before="160"/>
      </w:pPr>
      <w:r>
        <w:rPr>
          <w:b/>
          <w:bCs/>
        </w:rPr>
        <w:t xml:space="preserve">Command Responsibility Brief (Amicus)</w:t>
      </w:r>
    </w:p>
    <w:p>
      <w:pPr>
        <w:spacing w:after="80" w:line="276"/>
        <w:ind w:left="300"/>
        <w:jc w:val="both"/>
      </w:pPr>
      <w:r>
        <w:t xml:space="preserve">→ </w:t>
      </w:r>
      <w:r>
        <w:t xml:space="preserve">File a final Amicus Brief evaluating the Defence's full case. Consistent with Rule 9(5), this brief does not address the Judgment, which is not available until after Week 5 submissions close.</w:t>
      </w:r>
    </w:p>
    <w:p>
      <w:pPr>
        <w:pBdr>
          <w:bottom w:val="single" w:color="1B3A6B" w:sz="8" w:space="6"/>
        </w:pBdr>
        <w:spacing w:after="160" w:before="360"/>
      </w:pPr>
      <w:r>
        <w:rPr>
          <w:b/>
          <w:bCs/>
          <w:color w:val="1B3A6B"/>
          <w:sz w:val="24"/>
          <w:szCs w:val="24"/>
        </w:rPr>
        <w:t xml:space="preserve">PART VII — EVIDENCE</w:t>
      </w:r>
    </w:p>
    <w:p>
      <w:pPr>
        <w:spacing w:after="100" w:before="240"/>
      </w:pPr>
      <w:r>
        <w:rPr>
          <w:b/>
          <w:bCs/>
          <w:sz w:val="22"/>
          <w:szCs w:val="22"/>
        </w:rPr>
        <w:t xml:space="preserve">Rule 32</w:t>
      </w:r>
      <w:r>
        <w:rPr>
          <w:b/>
          <w:bCs/>
          <w:sz w:val="22"/>
          <w:szCs w:val="22"/>
        </w:rPr>
        <w:t xml:space="preserve"> — Admissibility of Evidence</w:t>
      </w:r>
    </w:p>
    <w:p>
      <w:pPr>
        <w:spacing w:after="120" w:line="300"/>
        <w:ind w:left="300"/>
        <w:jc w:val="both"/>
      </w:pPr>
      <w:r>
        <w:rPr>
          <w:b/>
          <w:bCs/>
        </w:rPr>
        <w:t xml:space="preserve">1. </w:t>
      </w:r>
      <w:r>
        <w:t xml:space="preserve">Evidence is admissible before Division I if it is relevant to a matter in issue in the proceedings and its probative value is not substantially outweighed by its prejudicial effect on the fairness of the proceedings.</w:t>
      </w:r>
    </w:p>
    <w:p>
      <w:pPr>
        <w:spacing w:after="120" w:line="300"/>
        <w:ind w:left="300"/>
        <w:jc w:val="both"/>
      </w:pPr>
      <w:r>
        <w:rPr>
          <w:b/>
          <w:bCs/>
        </w:rPr>
        <w:t xml:space="preserve">2. </w:t>
      </w:r>
      <w:r>
        <w:t xml:space="preserve">The Chamber shall not apply the strict rules of evidence applicable in domestic criminal proceedings. The Chamber may receive any evidence it considers to have probative value and shall assess the weight to be given to each piece of evidence in light of all the circumstances.</w:t>
      </w:r>
    </w:p>
    <w:p>
      <w:pPr>
        <w:spacing w:after="120" w:line="300"/>
        <w:ind w:left="300"/>
        <w:jc w:val="both"/>
      </w:pPr>
      <w:r>
        <w:rPr>
          <w:b/>
          <w:bCs/>
        </w:rPr>
        <w:t xml:space="preserve">3. </w:t>
      </w:r>
      <w:r>
        <w:t xml:space="preserve">Evidence obtained by means that violate internationally recognized human rights shall not be admissible if the admission would bring the proceedings into serious disrepute.</w:t>
      </w:r>
    </w:p>
    <w:p>
      <w:pPr>
        <w:spacing w:after="100" w:before="240"/>
      </w:pPr>
      <w:r>
        <w:rPr>
          <w:b/>
          <w:bCs/>
          <w:sz w:val="22"/>
          <w:szCs w:val="22"/>
        </w:rPr>
        <w:t xml:space="preserve">Rule 33</w:t>
      </w:r>
      <w:r>
        <w:rPr>
          <w:b/>
          <w:bCs/>
          <w:sz w:val="22"/>
          <w:szCs w:val="22"/>
        </w:rPr>
        <w:t xml:space="preserve"> — Documentary Evidence</w:t>
      </w:r>
    </w:p>
    <w:p>
      <w:pPr>
        <w:spacing w:after="120" w:line="300"/>
        <w:ind w:left="300"/>
        <w:jc w:val="both"/>
      </w:pPr>
      <w:r>
        <w:rPr>
          <w:b/>
          <w:bCs/>
        </w:rPr>
        <w:t xml:space="preserve">1. </w:t>
      </w:r>
      <w:r>
        <w:t xml:space="preserve">Documentary evidence includes written documents, electronic communications, official records, intelligence assessments, maps, photographs, and any other recorded information.</w:t>
      </w:r>
    </w:p>
    <w:p>
      <w:pPr>
        <w:spacing w:after="120" w:line="300"/>
        <w:ind w:left="300"/>
        <w:jc w:val="both"/>
      </w:pPr>
      <w:r>
        <w:rPr>
          <w:b/>
          <w:bCs/>
        </w:rPr>
        <w:t xml:space="preserve">2. </w:t>
      </w:r>
      <w:r>
        <w:t xml:space="preserve">Documentary evidence shall be formally introduced by the Count Counsel or role relying on it and assigned an exhibit reference. The authenticity and provenance of documentary evidence shall be established by the party introducing it.</w:t>
      </w:r>
    </w:p>
    <w:p>
      <w:pPr>
        <w:spacing w:after="120" w:line="300"/>
        <w:ind w:left="300"/>
        <w:jc w:val="both"/>
      </w:pPr>
      <w:r>
        <w:rPr>
          <w:b/>
          <w:bCs/>
        </w:rPr>
        <w:t xml:space="preserve">3. </w:t>
      </w:r>
      <w:r>
        <w:t xml:space="preserve">The Chamber may draw adverse inferences from the failure of a party to produce documentary evidence within its possession or control that has been requested by the opposing party or the Bench.</w:t>
      </w:r>
    </w:p>
    <w:p>
      <w:pPr>
        <w:spacing w:after="100" w:before="240"/>
      </w:pPr>
      <w:r>
        <w:rPr>
          <w:b/>
          <w:bCs/>
          <w:sz w:val="22"/>
          <w:szCs w:val="22"/>
        </w:rPr>
        <w:t xml:space="preserve">Rule 34</w:t>
      </w:r>
      <w:r>
        <w:rPr>
          <w:b/>
          <w:bCs/>
          <w:sz w:val="22"/>
          <w:szCs w:val="22"/>
        </w:rPr>
        <w:t xml:space="preserve"> — AI-Assisted Witness Evidence</w:t>
      </w:r>
    </w:p>
    <w:p>
      <w:pPr>
        <w:spacing w:after="120" w:line="300"/>
        <w:ind w:left="300"/>
        <w:jc w:val="both"/>
      </w:pPr>
      <w:r>
        <w:rPr>
          <w:b/>
          <w:bCs/>
        </w:rPr>
        <w:t xml:space="preserve">1. </w:t>
      </w:r>
      <w:r>
        <w:t xml:space="preserve">AI-assisted witnesses are interactive simulations of persons relevant to the proceedings, operated through the simulation webpage. They include simulations of the accused, expert witnesses, victim and community representatives, and other personas specified in the roster available on the simulation website.</w:t>
      </w:r>
    </w:p>
    <w:p>
      <w:pPr>
        <w:spacing w:after="120" w:line="300"/>
        <w:ind w:left="300"/>
        <w:jc w:val="both"/>
      </w:pPr>
      <w:r>
        <w:rPr>
          <w:b/>
          <w:bCs/>
        </w:rPr>
        <w:t xml:space="preserve">2. </w:t>
      </w:r>
      <w:r>
        <w:t xml:space="preserve">Transcripts of interactions with AI-assisted witnesses shall be submitted to Brightspace by the party that conducted the interaction and shall form part of the official record.</w:t>
      </w:r>
    </w:p>
    <w:p>
      <w:pPr>
        <w:spacing w:after="120" w:line="300"/>
        <w:ind w:left="300"/>
        <w:jc w:val="both"/>
      </w:pPr>
      <w:r>
        <w:rPr>
          <w:b/>
          <w:bCs/>
        </w:rPr>
        <w:t xml:space="preserve">3. </w:t>
      </w:r>
      <w:r>
        <w:t xml:space="preserve">The Chamber shall assess AI-assisted witness evidence with the same scrutiny applied to any other witness evidence. The simulated nature of the witness does not diminish the probative value of the evidence if the simulation is consistent with the established factual record.</w:t>
      </w:r>
    </w:p>
    <w:p>
      <w:pPr>
        <w:spacing w:after="100" w:before="240"/>
      </w:pPr>
      <w:r>
        <w:rPr>
          <w:b/>
          <w:bCs/>
          <w:sz w:val="22"/>
          <w:szCs w:val="22"/>
        </w:rPr>
        <w:t xml:space="preserve">Rule 35</w:t>
      </w:r>
      <w:r>
        <w:rPr>
          <w:b/>
          <w:bCs/>
          <w:sz w:val="22"/>
          <w:szCs w:val="22"/>
        </w:rPr>
        <w:t xml:space="preserve"> — Disclosure</w:t>
      </w:r>
    </w:p>
    <w:p>
      <w:pPr>
        <w:spacing w:after="120" w:line="300"/>
        <w:ind w:left="300"/>
        <w:jc w:val="both"/>
      </w:pPr>
      <w:r>
        <w:rPr>
          <w:b/>
          <w:bCs/>
        </w:rPr>
        <w:t xml:space="preserve">1. </w:t>
      </w:r>
      <w:r>
        <w:t xml:space="preserve">The Prosecution shall disclose to both Defence teams all evidence in its possession or control that is potentially relevant to the guilt or innocence of either accused or to sentence. Disclosure shall be made as soon as practicable and no later than the beginning of Week 2.</w:t>
      </w:r>
    </w:p>
    <w:p>
      <w:pPr>
        <w:spacing w:after="120" w:line="300"/>
        <w:ind w:left="300"/>
        <w:jc w:val="both"/>
      </w:pPr>
      <w:r>
        <w:rPr>
          <w:b/>
          <w:bCs/>
        </w:rPr>
        <w:t xml:space="preserve">2. </w:t>
      </w:r>
      <w:r>
        <w:t xml:space="preserve">The Prosecution shall disclose any evidence that tends to establish the innocence of either accused or to mitigate the charges as soon as it comes into the Prosecution's possession.</w:t>
      </w:r>
    </w:p>
    <w:p>
      <w:pPr>
        <w:spacing w:after="120" w:line="300"/>
        <w:ind w:left="300"/>
        <w:jc w:val="both"/>
      </w:pPr>
      <w:r>
        <w:rPr>
          <w:b/>
          <w:bCs/>
        </w:rPr>
        <w:t xml:space="preserve">3. </w:t>
      </w:r>
      <w:r>
        <w:t xml:space="preserve">Each Defence team shall disclose to the Prosecution the identity and expected testimony of witnesses it intends to call no later than the end of Week 2.</w:t>
      </w:r>
    </w:p>
    <w:p>
      <w:pPr>
        <w:spacing w:after="120" w:line="300"/>
        <w:ind w:left="300"/>
        <w:jc w:val="both"/>
      </w:pPr>
      <w:r>
        <w:rPr>
          <w:b/>
          <w:bCs/>
        </w:rPr>
        <w:t xml:space="preserve">4. </w:t>
      </w:r>
      <w:r>
        <w:t xml:space="preserve">Failure to disclose evidence may result in the exclusion of that evidence or such other remedy as the Bench considers appropriate.</w:t>
      </w:r>
    </w:p>
    <w:p>
      <w:pPr>
        <w:pBdr>
          <w:bottom w:val="single" w:color="1B3A6B" w:sz="8" w:space="6"/>
        </w:pBdr>
        <w:spacing w:after="160" w:before="360"/>
      </w:pPr>
      <w:r>
        <w:rPr>
          <w:b/>
          <w:bCs/>
          <w:color w:val="1B3A6B"/>
          <w:sz w:val="24"/>
          <w:szCs w:val="24"/>
        </w:rPr>
        <w:t xml:space="preserve">PART VIII — FINAL PROVISIONS</w:t>
      </w:r>
    </w:p>
    <w:p>
      <w:pPr>
        <w:spacing w:after="100" w:before="240"/>
      </w:pPr>
      <w:r>
        <w:rPr>
          <w:b/>
          <w:bCs/>
          <w:sz w:val="22"/>
          <w:szCs w:val="22"/>
        </w:rPr>
        <w:t xml:space="preserve">Rule 36</w:t>
      </w:r>
      <w:r>
        <w:rPr>
          <w:b/>
          <w:bCs/>
          <w:sz w:val="22"/>
          <w:szCs w:val="22"/>
        </w:rPr>
        <w:t xml:space="preserve"> — Amendment</w:t>
      </w:r>
    </w:p>
    <w:p>
      <w:pPr>
        <w:spacing w:after="120" w:line="300"/>
        <w:jc w:val="both"/>
      </w:pPr>
      <w:r>
        <w:t xml:space="preserve">The ORDER may be amended by the full bench of the High Court of Mir. Proposed amendments shall be circulated to all parties before adoption. Amendments shall not apply retroactively to proceedings already underway.</w:t>
      </w:r>
    </w:p>
    <w:p>
      <w:pPr>
        <w:spacing w:after="100" w:before="240"/>
      </w:pPr>
      <w:r>
        <w:rPr>
          <w:b/>
          <w:bCs/>
          <w:sz w:val="22"/>
          <w:szCs w:val="22"/>
        </w:rPr>
        <w:t xml:space="preserve">Rule 37</w:t>
      </w:r>
      <w:r>
        <w:rPr>
          <w:b/>
          <w:bCs/>
          <w:sz w:val="22"/>
          <w:szCs w:val="22"/>
        </w:rPr>
        <w:t xml:space="preserve"> — Citation</w:t>
      </w:r>
    </w:p>
    <w:p>
      <w:pPr>
        <w:spacing w:after="120" w:line="300"/>
        <w:jc w:val="both"/>
      </w:pPr>
      <w:r>
        <w:t xml:space="preserve">The present Rules shall be cited as ORDER, HCM/DIV-I/ORDER/001. Individual Rules shall be cited as Rule [number] of the ORDER.</w:t>
      </w:r>
    </w:p>
    <w:p>
      <w:pPr>
        <w:spacing w:after="100" w:before="240"/>
      </w:pPr>
      <w:r>
        <w:rPr>
          <w:b/>
          <w:bCs/>
          <w:sz w:val="22"/>
          <w:szCs w:val="22"/>
        </w:rPr>
        <w:t xml:space="preserve">Rule 38</w:t>
      </w:r>
      <w:r>
        <w:rPr>
          <w:b/>
          <w:bCs/>
          <w:sz w:val="22"/>
          <w:szCs w:val="22"/>
        </w:rPr>
        <w:t xml:space="preserve"> — Entry into Force</w:t>
      </w:r>
    </w:p>
    <w:p>
      <w:pPr>
        <w:spacing w:after="120" w:line="300"/>
        <w:jc w:val="both"/>
      </w:pPr>
      <w:r>
        <w:t xml:space="preserve">The ORDER enters into force upon adoption by the full bench of the High Court of Mir and applies to all proceedings before Division I from that date.</w:t>
      </w:r>
    </w:p>
    <w:p>
      <w:pPr>
        <w:spacing w:after="100" w:before="300"/>
        <w:jc w:val="center"/>
      </w:pPr>
      <w:r>
        <w:rPr>
          <w:b/>
          <w:bCs/>
        </w:rPr>
        <w:t xml:space="preserve">ADOPTED BY THE FULL BENCH OF THE HIGH COURT OF MIR</w:t>
      </w:r>
    </w:p>
    <w:p>
      <w:pPr>
        <w:spacing w:after="60"/>
        <w:jc w:val="center"/>
      </w:pPr>
      <w:r>
        <w:rPr>
          <w:i/>
          <w:iCs/>
        </w:rPr>
        <w:t xml:space="preserve">Signed by the President of the High Court of Mir and authenticated by the Registrar.</w:t>
      </w:r>
    </w:p>
    <w:p>
      <w:pPr>
        <w:spacing w:before="200"/>
      </w:pPr>
      <w:r>
        <w:t xml:space="preserve">President, High Court of Mir:</w:t>
      </w:r>
    </w:p>
    <w:p>
      <w:pPr>
        <w:spacing w:before="100"/>
      </w:pPr>
      <w:r>
        <w:t xml:space="preserve">Registrar, High Court of Mir:</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2026-09-20T01:06:13.655Z</dcterms:created>
  <dcterms:modified xsi:type="dcterms:W3CDTF">2026-09-20T01:06:13.661Z</dcterms:modified>
</cp:coreProperties>
</file>

<file path=docProps/custom.xml><?xml version="1.0" encoding="utf-8"?>
<Properties xmlns="http://schemas.openxmlformats.org/officeDocument/2006/custom-properties" xmlns:vt="http://schemas.openxmlformats.org/officeDocument/2006/docPropsVTypes"/>
</file>