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before="0"/>
      </w:pPr>
    </w:p>
    <w:p>
      <w:pPr>
        <w:jc w:val="center"/>
      </w:pPr>
      <w:r>
        <w:rPr>
          <w:rFonts w:ascii="Arial" w:cs="Arial" w:eastAsia="Arial" w:hAnsi="Arial"/>
          <w:color w:val="1B3A6B"/>
          <w:sz w:val="72"/>
          <w:szCs w:val="72"/>
        </w:rPr>
        <w:t xml:space="preserve">☢</w:t>
      </w:r>
    </w:p>
    <w:p>
      <w:pPr>
        <w:spacing w:after="120" w:before="0"/>
      </w:pPr>
    </w:p>
    <w:p>
      <w:pPr>
        <w:jc w:val="center"/>
      </w:pPr>
      <w:r>
        <w:rPr>
          <w:rFonts w:ascii="Arial" w:cs="Arial" w:eastAsia="Arial" w:hAnsi="Arial"/>
          <w:b/>
          <w:bCs/>
          <w:caps/>
          <w:color w:val="1B3A6B"/>
          <w:sz w:val="40"/>
          <w:szCs w:val="40"/>
        </w:rPr>
        <w:t xml:space="preserve">MIR COMPREHENSIVE</w:t>
      </w:r>
    </w:p>
    <w:p>
      <w:pPr>
        <w:jc w:val="center"/>
      </w:pPr>
      <w:r>
        <w:rPr>
          <w:rFonts w:ascii="Arial" w:cs="Arial" w:eastAsia="Arial" w:hAnsi="Arial"/>
          <w:b/>
          <w:bCs/>
          <w:caps/>
          <w:color w:val="1B3A6B"/>
          <w:sz w:val="40"/>
          <w:szCs w:val="40"/>
        </w:rPr>
        <w:t xml:space="preserve">WEAPONS CONVENTION</w:t>
      </w:r>
    </w:p>
    <w:p>
      <w:pPr>
        <w:spacing w:after="60" w:before="0"/>
      </w:pPr>
    </w:p>
    <w:p>
      <w:pPr>
        <w:jc w:val="center"/>
      </w:pPr>
      <w:r>
        <w:rPr>
          <w:rFonts w:ascii="Arial" w:cs="Arial" w:eastAsia="Arial" w:hAnsi="Arial"/>
          <w:b/>
          <w:bCs/>
          <w:color w:val="C5922A"/>
          <w:sz w:val="30"/>
          <w:szCs w:val="30"/>
        </w:rPr>
        <w:t xml:space="preserve">( MCWC )</w:t>
      </w:r>
    </w:p>
    <w:p>
      <w:pPr>
        <w:spacing w:after="80" w:before="0"/>
      </w:pPr>
    </w:p>
    <w:p>
      <w:pPr>
        <w:pBdr>
          <w:bottom w:val="single" w:color="C5922A" w:sz="6" w:space="1"/>
        </w:pBdr>
        <w:spacing w:after="0" w:before="0"/>
      </w:pPr>
    </w:p>
    <w:p>
      <w:pPr>
        <w:spacing w:after="80" w:before="0"/>
      </w:pPr>
    </w:p>
    <w:p>
      <w:pPr>
        <w:jc w:val="center"/>
      </w:pPr>
      <w:r>
        <w:rPr>
          <w:rFonts w:ascii="Garamond" w:cs="Garamond" w:eastAsia="Garamond" w:hAnsi="Garamond"/>
          <w:i/>
          <w:iCs/>
          <w:color w:val="666666"/>
          <w:sz w:val="22"/>
          <w:szCs w:val="22"/>
        </w:rPr>
        <w:t xml:space="preserve">Adopted at the Conference of Mir on Disarmament</w:t>
      </w:r>
    </w:p>
    <w:p>
      <w:pPr>
        <w:jc w:val="center"/>
      </w:pPr>
      <w:r>
        <w:rPr>
          <w:rFonts w:ascii="Garamond" w:cs="Garamond" w:eastAsia="Garamond" w:hAnsi="Garamond"/>
          <w:i/>
          <w:iCs/>
          <w:color w:val="666666"/>
          <w:sz w:val="22"/>
          <w:szCs w:val="22"/>
        </w:rPr>
        <w:t xml:space="preserve">Deposited with the Secretariat of the United Mirians</w:t>
      </w:r>
    </w:p>
    <w:p>
      <w:pPr>
        <w:spacing w:after="60" w:before="0"/>
      </w:pPr>
    </w:p>
    <w:p>
      <w:pPr>
        <w:pBdr>
          <w:bottom w:val="single" w:color="C5922A" w:sz="6" w:space="1"/>
        </w:pBdr>
        <w:spacing w:after="0" w:before="0"/>
      </w:pPr>
    </w:p>
    <w:p>
      <w:pPr>
        <w:spacing w:after="100" w:before="0"/>
      </w:pPr>
    </w:p>
    <w:p>
      <w:pPr>
        <w:jc w:val="center"/>
      </w:pPr>
      <w:r>
        <w:rPr>
          <w:rFonts w:ascii="Arial" w:cs="Arial" w:eastAsia="Arial" w:hAnsi="Arial"/>
          <w:color w:val="666666"/>
          <w:sz w:val="20"/>
          <w:szCs w:val="20"/>
        </w:rPr>
        <w:t xml:space="preserve">Including:</w:t>
      </w:r>
    </w:p>
    <w:p>
      <w:pPr>
        <w:spacing w:after="40" w:before="0"/>
      </w:pPr>
    </w:p>
    <w:p>
      <w:pPr>
        <w:jc w:val="center"/>
      </w:pPr>
      <w:r>
        <w:rPr>
          <w:rFonts w:ascii="Garamond" w:cs="Garamond" w:eastAsia="Garamond" w:hAnsi="Garamond"/>
          <w:i/>
          <w:iCs/>
          <w:color w:val="6B1B1B"/>
          <w:sz w:val="22"/>
          <w:szCs w:val="22"/>
        </w:rPr>
        <w:t xml:space="preserve">Annex I  —  Reservation of Belogal</w:t>
      </w:r>
    </w:p>
    <w:p>
      <w:pPr>
        <w:jc w:val="center"/>
      </w:pPr>
      <w:r>
        <w:rPr>
          <w:rFonts w:ascii="Garamond" w:cs="Garamond" w:eastAsia="Garamond" w:hAnsi="Garamond"/>
          <w:i/>
          <w:iCs/>
          <w:color w:val="333333"/>
          <w:sz w:val="22"/>
          <w:szCs w:val="22"/>
        </w:rPr>
        <w:t xml:space="preserve">Annex II  —  Acceptance Notations of All Parties</w:t>
      </w:r>
    </w:p>
    <w:p>
      <w:pPr>
        <w:spacing w:after="400" w:before="0"/>
      </w:pPr>
    </w:p>
    <w:p>
      <w:pPr>
        <w:spacing w:after="80" w:before="400"/>
        <w:jc w:val="center"/>
      </w:pPr>
      <w:r>
        <w:rPr>
          <w:rFonts w:ascii="Arial" w:cs="Arial" w:eastAsia="Arial" w:hAnsi="Arial"/>
          <w:b/>
          <w:bCs/>
          <w:caps/>
          <w:color w:val="1B3A6B"/>
          <w:sz w:val="26"/>
          <w:szCs w:val="26"/>
        </w:rPr>
        <w:t xml:space="preserve">PREAMBLE</w:t>
      </w:r>
    </w:p>
    <w:p>
      <w:pPr>
        <w:pBdr>
          <w:bottom w:val="single" w:color="1B3A6B" w:sz="6" w:space="1"/>
        </w:pBdr>
        <w:spacing w:after="160" w:before="40"/>
      </w:pPr>
    </w:p>
    <w:p>
      <w:pPr>
        <w:spacing w:after="80" w:before="80" w:line="300"/>
        <w:ind w:left="360"/>
        <w:jc w:val="both"/>
      </w:pPr>
      <w:r>
        <w:rPr>
          <w:rFonts w:ascii="Garamond" w:cs="Garamond" w:eastAsia="Garamond" w:hAnsi="Garamond"/>
          <w:i/>
          <w:iCs/>
          <w:color w:val="333333"/>
          <w:sz w:val="22"/>
          <w:szCs w:val="22"/>
        </w:rPr>
        <w:t xml:space="preserve">THE HIGH CONTRACTING PARTIES,</w:t>
      </w:r>
    </w:p>
    <w:p>
      <w:pPr>
        <w:spacing w:after="40" w:before="0"/>
      </w:pPr>
    </w:p>
    <w:p>
      <w:pPr>
        <w:spacing w:after="80" w:before="80" w:line="300"/>
        <w:ind w:left="360"/>
        <w:jc w:val="both"/>
      </w:pPr>
      <w:r>
        <w:rPr>
          <w:rFonts w:ascii="Garamond" w:cs="Garamond" w:eastAsia="Garamond" w:hAnsi="Garamond"/>
          <w:i/>
          <w:iCs/>
          <w:color w:val="333333"/>
          <w:sz w:val="22"/>
          <w:szCs w:val="22"/>
        </w:rPr>
        <w:t xml:space="preserve">DETERMINED to act with a view to achieving effective progress towards general and complete disarmament under strict and effective international control, including the prohibition and elimination of all types of weapons of mass destruction,</w:t>
      </w:r>
    </w:p>
    <w:p>
      <w:pPr>
        <w:spacing w:after="80" w:before="80" w:line="300"/>
        <w:ind w:left="360"/>
        <w:jc w:val="both"/>
      </w:pPr>
      <w:r>
        <w:rPr>
          <w:rFonts w:ascii="Garamond" w:cs="Garamond" w:eastAsia="Garamond" w:hAnsi="Garamond"/>
          <w:i/>
          <w:iCs/>
          <w:color w:val="333333"/>
          <w:sz w:val="22"/>
          <w:szCs w:val="22"/>
        </w:rPr>
        <w:t xml:space="preserve">RECOGNIZING that the development, production, stockpiling, and use of weapons capable of causing mass casualties and indiscriminate harm to civilian populations is contrary to the principles of humanity and the dictates of public conscience,</w:t>
      </w:r>
    </w:p>
    <w:p>
      <w:pPr>
        <w:spacing w:after="80" w:before="80" w:line="300"/>
        <w:ind w:left="360"/>
        <w:jc w:val="both"/>
      </w:pPr>
      <w:r>
        <w:rPr>
          <w:rFonts w:ascii="Garamond" w:cs="Garamond" w:eastAsia="Garamond" w:hAnsi="Garamond"/>
          <w:i/>
          <w:iCs/>
          <w:color w:val="333333"/>
          <w:sz w:val="22"/>
          <w:szCs w:val="22"/>
        </w:rPr>
        <w:t xml:space="preserve">AFFIRMING that the prohibition on weapons causing unnecessary suffering and indiscriminate effects, as established in the Mir Standards on Warfare, Operations, and Rights of the Detained, applies to all weapons regardless of the technology employed,</w:t>
      </w:r>
    </w:p>
    <w:p>
      <w:pPr>
        <w:spacing w:after="80" w:before="80" w:line="300"/>
        <w:ind w:left="360"/>
        <w:jc w:val="both"/>
      </w:pPr>
      <w:r>
        <w:rPr>
          <w:rFonts w:ascii="Garamond" w:cs="Garamond" w:eastAsia="Garamond" w:hAnsi="Garamond"/>
          <w:i/>
          <w:iCs/>
          <w:color w:val="333333"/>
          <w:sz w:val="22"/>
          <w:szCs w:val="22"/>
        </w:rPr>
        <w:t xml:space="preserve">NOTING that nuclear weapons in particular possess characteristics that make their use difficult or impossible to reconcile with the requirements of international humanitarian law, including the principles of distinction, proportionality, and precaution,</w:t>
      </w:r>
    </w:p>
    <w:p>
      <w:pPr>
        <w:spacing w:after="80" w:before="80" w:line="300"/>
        <w:ind w:left="360"/>
        <w:jc w:val="both"/>
      </w:pPr>
      <w:r>
        <w:rPr>
          <w:rFonts w:ascii="Garamond" w:cs="Garamond" w:eastAsia="Garamond" w:hAnsi="Garamond"/>
          <w:i/>
          <w:iCs/>
          <w:color w:val="333333"/>
          <w:sz w:val="22"/>
          <w:szCs w:val="22"/>
        </w:rPr>
        <w:t xml:space="preserve">ACKNOWLEDGING the special responsibility of states possessing weapons of mass destruction to work in good faith toward the elimination of such weapons,</w:t>
      </w:r>
    </w:p>
    <w:p>
      <w:pPr>
        <w:spacing w:after="80" w:before="80" w:line="300"/>
        <w:ind w:left="360"/>
        <w:jc w:val="both"/>
      </w:pPr>
      <w:r>
        <w:rPr>
          <w:rFonts w:ascii="Garamond" w:cs="Garamond" w:eastAsia="Garamond" w:hAnsi="Garamond"/>
          <w:i/>
          <w:iCs/>
          <w:color w:val="333333"/>
          <w:sz w:val="22"/>
          <w:szCs w:val="22"/>
        </w:rPr>
        <w:t xml:space="preserve">REAFFIRMING the obligation of all states to pursue negotiations on disarmament in good faith,</w:t>
      </w:r>
    </w:p>
    <w:p>
      <w:pPr>
        <w:spacing w:after="80" w:before="80" w:line="300"/>
        <w:ind w:left="360"/>
        <w:jc w:val="both"/>
      </w:pPr>
      <w:r>
        <w:rPr>
          <w:rFonts w:ascii="Garamond" w:cs="Garamond" w:eastAsia="Garamond" w:hAnsi="Garamond"/>
          <w:i/>
          <w:iCs/>
          <w:color w:val="333333"/>
          <w:sz w:val="22"/>
          <w:szCs w:val="22"/>
        </w:rPr>
        <w:t xml:space="preserve">HAVE AGREED as follows:</w:t>
      </w:r>
    </w:p>
    <w:p>
      <w:pPr>
        <w:spacing w:after="200" w:before="0"/>
      </w:pPr>
    </w:p>
    <w:p>
      <w:pPr>
        <w:spacing w:after="80" w:before="400"/>
        <w:jc w:val="center"/>
      </w:pPr>
      <w:r>
        <w:rPr>
          <w:rFonts w:ascii="Arial" w:cs="Arial" w:eastAsia="Arial" w:hAnsi="Arial"/>
          <w:b/>
          <w:bCs/>
          <w:caps/>
          <w:color w:val="1B3A6B"/>
          <w:sz w:val="26"/>
          <w:szCs w:val="26"/>
        </w:rPr>
        <w:t xml:space="preserve">PART I — GENERAL PROVISIONS</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1</w:t>
      </w:r>
      <w:r>
        <w:rPr>
          <w:rFonts w:ascii="Arial" w:cs="Arial" w:eastAsia="Arial" w:hAnsi="Arial"/>
          <w:color w:val="666666"/>
          <w:sz w:val="22"/>
          <w:szCs w:val="22"/>
        </w:rPr>
        <w:t xml:space="preserve">  —  Object and Purpose</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object and purpose of the present Convention is to prohibit the development, production, stockpiling, transfer, and use of weapons capable of causing mass casualties, indiscriminate harm, or widespread environmental destruction, and to provide a framework for their verified elimination from the arsenals of all states.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present Convention recognizes that the complete prohibition and elimination of weapons of mass destruction is a common goal of all states of Mir and that progress toward this goal must be pursued in good faith by all parties regardless of their current weapons holdings.</w:t>
      </w:r>
    </w:p>
    <w:p>
      <w:pPr>
        <w:spacing w:after="60" w:before="220"/>
      </w:pPr>
      <w:r>
        <w:rPr>
          <w:rFonts w:ascii="Arial" w:cs="Arial" w:eastAsia="Arial" w:hAnsi="Arial"/>
          <w:b/>
          <w:bCs/>
          <w:color w:val="1B3A6B"/>
          <w:sz w:val="22"/>
          <w:szCs w:val="22"/>
        </w:rPr>
        <w:t xml:space="preserve">Article 2</w:t>
      </w:r>
      <w:r>
        <w:rPr>
          <w:rFonts w:ascii="Arial" w:cs="Arial" w:eastAsia="Arial" w:hAnsi="Arial"/>
          <w:color w:val="666666"/>
          <w:sz w:val="22"/>
          <w:szCs w:val="22"/>
        </w:rPr>
        <w:t xml:space="preserve">  —  Definitions</w:t>
      </w:r>
    </w:p>
    <w:p>
      <w:pPr>
        <w:spacing w:after="60" w:before="60" w:line="276"/>
        <w:jc w:val="both"/>
      </w:pPr>
      <w:r>
        <w:rPr>
          <w:rFonts w:ascii="Garamond" w:cs="Garamond" w:eastAsia="Garamond" w:hAnsi="Garamond"/>
          <w:color w:val="333333"/>
          <w:sz w:val="22"/>
          <w:szCs w:val="22"/>
        </w:rPr>
        <w:t xml:space="preserve">For the purposes of the present Convention:</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"Weapons of mass destruction" means nuclear weapons, biological weapons, chemical weapons, and radiological weapons, as defined in Articles 5, 7, 9, and 11 respectively.</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"Use" means any employment of a weapon or weapons system for offensive or defensive military purposes, including any detonation, release, or deployment of a weapon capable of producing the effects described in Articles 5, 7, 9, or 11.</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"Transfer" means any conveyance of a weapon, weapons component, delivery system, or related technology to any other state, non-state actor, or individual, whether by sale, gift, loan, or any other means.</w:t>
      </w:r>
    </w:p>
    <w:p>
      <w:pPr>
        <w:spacing w:after="40" w:before="40" w:line="276"/>
        <w:ind w:left="1080" w:hanging="360"/>
        <w:jc w:val="both"/>
      </w:pPr>
      <w:r>
        <w:rPr>
          <w:rFonts w:ascii="Garamond" w:cs="Garamond" w:eastAsia="Garamond" w:hAnsi="Garamond"/>
          <w:b/>
          <w:bCs/>
          <w:color w:val="333333"/>
          <w:sz w:val="22"/>
          <w:szCs w:val="22"/>
        </w:rPr>
        <w:t xml:space="preserve">(d)  </w:t>
      </w:r>
      <w:r>
        <w:rPr>
          <w:rFonts w:ascii="Garamond" w:cs="Garamond" w:eastAsia="Garamond" w:hAnsi="Garamond"/>
          <w:color w:val="333333"/>
          <w:sz w:val="22"/>
          <w:szCs w:val="22"/>
        </w:rPr>
        <w:t xml:space="preserve">"Development" means any research, design, testing, or modification of a weapon for the purpose of creating or improving its capacity to produce the effects described in Articles 5, 7, 9, or 11.</w:t>
      </w:r>
    </w:p>
    <w:p>
      <w:pPr>
        <w:spacing w:after="40" w:before="40" w:line="276"/>
        <w:ind w:left="1080" w:hanging="360"/>
        <w:jc w:val="both"/>
      </w:pPr>
      <w:r>
        <w:rPr>
          <w:rFonts w:ascii="Garamond" w:cs="Garamond" w:eastAsia="Garamond" w:hAnsi="Garamond"/>
          <w:b/>
          <w:bCs/>
          <w:color w:val="333333"/>
          <w:sz w:val="22"/>
          <w:szCs w:val="22"/>
        </w:rPr>
        <w:t xml:space="preserve">(e)  </w:t>
      </w:r>
      <w:r>
        <w:rPr>
          <w:rFonts w:ascii="Garamond" w:cs="Garamond" w:eastAsia="Garamond" w:hAnsi="Garamond"/>
          <w:color w:val="333333"/>
          <w:sz w:val="22"/>
          <w:szCs w:val="22"/>
        </w:rPr>
        <w:t xml:space="preserve">"Stockpiling" means the retention of weapons in any quantity beyond immediate operational requirements, including weapons held in reserve or storage.</w:t>
      </w:r>
    </w:p>
    <w:p>
      <w:pPr>
        <w:spacing w:after="40" w:before="40" w:line="276"/>
        <w:ind w:left="1080" w:hanging="360"/>
        <w:jc w:val="both"/>
      </w:pPr>
      <w:r>
        <w:rPr>
          <w:rFonts w:ascii="Garamond" w:cs="Garamond" w:eastAsia="Garamond" w:hAnsi="Garamond"/>
          <w:b/>
          <w:bCs/>
          <w:color w:val="333333"/>
          <w:sz w:val="22"/>
          <w:szCs w:val="22"/>
        </w:rPr>
        <w:t xml:space="preserve">(f)  </w:t>
      </w:r>
      <w:r>
        <w:rPr>
          <w:rFonts w:ascii="Garamond" w:cs="Garamond" w:eastAsia="Garamond" w:hAnsi="Garamond"/>
          <w:color w:val="333333"/>
          <w:sz w:val="22"/>
          <w:szCs w:val="22"/>
        </w:rPr>
        <w:t xml:space="preserve">"State Party" means any state that has ratified or acceded to the present Convention.</w:t>
      </w:r>
    </w:p>
    <w:p>
      <w:pPr>
        <w:spacing w:after="60" w:before="220"/>
      </w:pPr>
      <w:r>
        <w:rPr>
          <w:rFonts w:ascii="Arial" w:cs="Arial" w:eastAsia="Arial" w:hAnsi="Arial"/>
          <w:b/>
          <w:bCs/>
          <w:color w:val="1B3A6B"/>
          <w:sz w:val="22"/>
          <w:szCs w:val="22"/>
        </w:rPr>
        <w:t xml:space="preserve">Article 3</w:t>
      </w:r>
      <w:r>
        <w:rPr>
          <w:rFonts w:ascii="Arial" w:cs="Arial" w:eastAsia="Arial" w:hAnsi="Arial"/>
          <w:color w:val="666666"/>
          <w:sz w:val="22"/>
          <w:szCs w:val="22"/>
        </w:rPr>
        <w:t xml:space="preserve">  —  General Prohibitions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Each State Party undertakes never under any circumstances to:</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Develop, produce, or stockpile weapons of mass destruction;</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Transfer weapons of mass destruction, or any component thereof, to any recipient whatsoever;</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Assist, encourage, or induce any state, non-state actor, or individual to develop, produce, stockpile, transfer, or use weapons of mass destruction;</w:t>
      </w:r>
    </w:p>
    <w:p>
      <w:pPr>
        <w:spacing w:after="40" w:before="40" w:line="276"/>
        <w:ind w:left="1080" w:hanging="360"/>
        <w:jc w:val="both"/>
      </w:pPr>
      <w:r>
        <w:rPr>
          <w:rFonts w:ascii="Garamond" w:cs="Garamond" w:eastAsia="Garamond" w:hAnsi="Garamond"/>
          <w:b/>
          <w:bCs/>
          <w:color w:val="333333"/>
          <w:sz w:val="22"/>
          <w:szCs w:val="22"/>
        </w:rPr>
        <w:t xml:space="preserve">(d)  </w:t>
      </w:r>
      <w:r>
        <w:rPr>
          <w:rFonts w:ascii="Garamond" w:cs="Garamond" w:eastAsia="Garamond" w:hAnsi="Garamond"/>
          <w:color w:val="333333"/>
          <w:sz w:val="22"/>
          <w:szCs w:val="22"/>
        </w:rPr>
        <w:t xml:space="preserve">Use weapons of mass destruction under any circumstances.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prohibition on use in paragraph 1(d) applies in all circumstances, including in self-defence, and regardless of the weapons holdings or conduct of any other party to a conflict.</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No military necessity, exceptional circumstances, or state of emergency may be invoked to justify any derogation from the prohibitions contained in this Article, subject to any reservation validly entered under Article 20 of the present Convention.</w:t>
      </w:r>
    </w:p>
    <w:p>
      <w:pPr>
        <w:spacing w:after="60" w:before="220"/>
      </w:pPr>
      <w:r>
        <w:rPr>
          <w:rFonts w:ascii="Arial" w:cs="Arial" w:eastAsia="Arial" w:hAnsi="Arial"/>
          <w:b/>
          <w:bCs/>
          <w:color w:val="1B3A6B"/>
          <w:sz w:val="22"/>
          <w:szCs w:val="22"/>
        </w:rPr>
        <w:t xml:space="preserve">Article 4</w:t>
      </w:r>
      <w:r>
        <w:rPr>
          <w:rFonts w:ascii="Arial" w:cs="Arial" w:eastAsia="Arial" w:hAnsi="Arial"/>
          <w:color w:val="666666"/>
          <w:sz w:val="22"/>
          <w:szCs w:val="22"/>
        </w:rPr>
        <w:t xml:space="preserve">  —  Obligation to Eliminate</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Each State Party that possesses weapons of mass destruction at the time of ratification or accession undertakes to destroy or otherwise eliminate all such weapons within a period to be agreed with the verification authority established under Article 17, and in no event later than ten years from the date of ratification or accession.</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Each State Party undertakes to conclude a specific elimination agreement with the verification authority within two years of the entry into force of this Convention with respect to that state, specifying the timeline, method, and verification arrangements for the elimination of its weapons.</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Pending the elimination of weapons held at the time of ratification, State Parties possessing such weapons undertake not to increase their stockpiles, not to improve the yield or delivery capacity of existing weapons, and not to transfer any weapons or related technology to any other party.</w:t>
      </w:r>
    </w:p>
    <w:p>
      <w:pPr>
        <w:spacing w:after="200" w:before="0"/>
      </w:pPr>
    </w:p>
    <w:p>
      <w:pPr>
        <w:spacing w:after="80" w:before="400"/>
        <w:jc w:val="center"/>
      </w:pPr>
      <w:r>
        <w:rPr>
          <w:rFonts w:ascii="Arial" w:cs="Arial" w:eastAsia="Arial" w:hAnsi="Arial"/>
          <w:b/>
          <w:bCs/>
          <w:caps/>
          <w:color w:val="1B3A6B"/>
          <w:sz w:val="26"/>
          <w:szCs w:val="26"/>
        </w:rPr>
        <w:t xml:space="preserve">PART II — NUCLEAR WEAPONS</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5</w:t>
      </w:r>
      <w:r>
        <w:rPr>
          <w:rFonts w:ascii="Arial" w:cs="Arial" w:eastAsia="Arial" w:hAnsi="Arial"/>
          <w:color w:val="666666"/>
          <w:sz w:val="22"/>
          <w:szCs w:val="22"/>
        </w:rPr>
        <w:t xml:space="preserve">  —  Definition of Nuclear Weapons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For the purposes of the present Convention, nuclear weapons means any device which is designed to release nuclear energy in an uncontrolled manner and which has characteristics that make it capable of causing widespread destruction, casualties, or contamination.</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Nuclear weapons include strategic nuclear weapons, tactical nuclear weapons, and any other nuclear explosive device regardless of its designated yield, range, or delivery system. The classification of a weapon as tactical or strategic does not affect the application of the prohibitions contained in this Convention.</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Delivery systems designed exclusively for the delivery of nuclear weapons, and major components specifically designed for such delivery systems, are covered by the prohibitions applicable to nuclear weapons under this Convention.</w:t>
      </w:r>
    </w:p>
    <w:p>
      <w:pPr>
        <w:spacing w:after="60" w:before="220"/>
      </w:pPr>
      <w:r>
        <w:rPr>
          <w:rFonts w:ascii="Arial" w:cs="Arial" w:eastAsia="Arial" w:hAnsi="Arial"/>
          <w:b/>
          <w:bCs/>
          <w:color w:val="1B3A6B"/>
          <w:sz w:val="22"/>
          <w:szCs w:val="22"/>
        </w:rPr>
        <w:t xml:space="preserve">Article 6</w:t>
      </w:r>
      <w:r>
        <w:rPr>
          <w:rFonts w:ascii="Arial" w:cs="Arial" w:eastAsia="Arial" w:hAnsi="Arial"/>
          <w:color w:val="666666"/>
          <w:sz w:val="22"/>
          <w:szCs w:val="22"/>
        </w:rPr>
        <w:t xml:space="preserve">  —  Specific Prohibitions — Nuclear Weapons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Each State Party undertakes never under any circumstances to use nuclear weapons against any target, whether military or civilian, in any territory, whether the territory of a State Party, a non-party, a disputed territory, or any area beyond national jurisdiction.</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prohibition on use applies equally to the detonation of any nuclear device for any purpose other than peaceful civil nuclear energy, which is governed by Article 16 of this Convention.</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Each State Party undertakes not to threaten the use of nuclear weapons against any other state or non-state actor. A threat of nuclear weapons use constitutes a violation of the present Convention regardless of whether the threatened use would itself violate this Convention.</w:t>
      </w:r>
    </w:p>
    <w:p>
      <w:pPr>
        <w:spacing w:after="60" w:before="60" w:line="276"/>
        <w:ind w:left="720" w:hanging="360"/>
        <w:jc w:val="both"/>
      </w:pPr>
      <w:r>
        <w:rPr>
          <w:rFonts w:ascii="Garamond" w:cs="Garamond" w:eastAsia="Garamond" w:hAnsi="Garamond"/>
          <w:b/>
          <w:bCs/>
          <w:color w:val="333333"/>
          <w:sz w:val="22"/>
          <w:szCs w:val="22"/>
        </w:rPr>
        <w:t xml:space="preserve">4.  </w:t>
      </w:r>
      <w:r>
        <w:rPr>
          <w:rFonts w:ascii="Garamond" w:cs="Garamond" w:eastAsia="Garamond" w:hAnsi="Garamond"/>
          <w:color w:val="333333"/>
          <w:sz w:val="22"/>
          <w:szCs w:val="22"/>
        </w:rPr>
        <w:t xml:space="preserve">Each State Party undertakes not to conduct nuclear weapons tests, including tests of delivery systems under conditions that simulate nuclear detonation.</w:t>
      </w:r>
    </w:p>
    <w:p>
      <w:pPr>
        <w:spacing w:after="60" w:before="40" w:line="260"/>
        <w:ind w:left="360"/>
        <w:jc w:val="both"/>
      </w:pPr>
      <w:r>
        <w:rPr>
          <w:rFonts w:ascii="Arial" w:cs="Arial" w:eastAsia="Arial" w:hAnsi="Arial"/>
          <w:i/>
          <w:iCs/>
          <w:color w:val="C5922A"/>
          <w:sz w:val="19"/>
          <w:szCs w:val="19"/>
        </w:rPr>
        <w:t xml:space="preserve">Cross-reference: SWORD Article 21 — Indiscriminate Weapons; Article 22 — Environmental Protection. </w:t>
      </w:r>
    </w:p>
    <w:p>
      <w:pPr>
        <w:spacing w:after="60" w:before="40" w:line="260"/>
        <w:ind w:left="360"/>
        <w:jc w:val="both"/>
      </w:pPr>
      <w:r>
        <w:rPr>
          <w:rFonts w:ascii="Arial" w:cs="Arial" w:eastAsia="Arial" w:hAnsi="Arial"/>
          <w:i/>
          <w:iCs/>
          <w:color w:val="C5922A"/>
          <w:sz w:val="19"/>
          <w:szCs w:val="19"/>
        </w:rPr>
        <w:t xml:space="preserve">Cross-reference: GLOW — Mir Guidelines on the Legality of Weapons (GLOW). The Advisory Chamber has issued a non-binding opinion on the legality of nuclear weapons use under the laws of armed conflict applicable in Mir.</w:t>
      </w:r>
    </w:p>
    <w:p>
      <w:pPr>
        <w:spacing w:after="60" w:before="220"/>
      </w:pPr>
      <w:r>
        <w:rPr>
          <w:rFonts w:ascii="Arial" w:cs="Arial" w:eastAsia="Arial" w:hAnsi="Arial"/>
          <w:b/>
          <w:bCs/>
          <w:color w:val="1B3A6B"/>
          <w:sz w:val="22"/>
          <w:szCs w:val="22"/>
        </w:rPr>
        <w:t xml:space="preserve">Article 7</w:t>
      </w:r>
      <w:r>
        <w:rPr>
          <w:rFonts w:ascii="Arial" w:cs="Arial" w:eastAsia="Arial" w:hAnsi="Arial"/>
          <w:color w:val="666666"/>
          <w:sz w:val="22"/>
          <w:szCs w:val="22"/>
        </w:rPr>
        <w:t xml:space="preserve">  —  Non-Proliferation Obligations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Each State Party undertakes not to transfer nuclear weapons or other nuclear explosive devices or control over such weapons or explosive devices directly or indirectly to any recipient whatsoever.</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Each State Party undertakes not to assist, encourage, or induce any state to manufacture or otherwise acquire nuclear weapons or other nuclear explosive devices, or control over such weapons or explosive devices.</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Each State Party that does not manufacture or otherwise possess nuclear weapons or other nuclear explosive devices undertakes not to seek or receive any assistance in the manufacture of nuclear weapons or other nuclear explosive devices.</w:t>
      </w:r>
    </w:p>
    <w:p>
      <w:pPr>
        <w:spacing w:after="60" w:before="60" w:line="276"/>
        <w:ind w:left="720" w:hanging="360"/>
        <w:jc w:val="both"/>
      </w:pPr>
      <w:r>
        <w:rPr>
          <w:rFonts w:ascii="Garamond" w:cs="Garamond" w:eastAsia="Garamond" w:hAnsi="Garamond"/>
          <w:b/>
          <w:bCs/>
          <w:color w:val="333333"/>
          <w:sz w:val="22"/>
          <w:szCs w:val="22"/>
        </w:rPr>
        <w:t xml:space="preserve">4.  </w:t>
      </w:r>
      <w:r>
        <w:rPr>
          <w:rFonts w:ascii="Garamond" w:cs="Garamond" w:eastAsia="Garamond" w:hAnsi="Garamond"/>
          <w:color w:val="333333"/>
          <w:sz w:val="22"/>
          <w:szCs w:val="22"/>
        </w:rPr>
        <w:t xml:space="preserve">The non-proliferation obligations of this Article apply regardless of any security arrangement, alliance obligation, or other international commitment of the State Party concerned. No treaty, agreement, or arrangement entered into after the entry into force of the present Convention may be invoked to justify conduct prohibited by this Article.</w:t>
      </w:r>
    </w:p>
    <w:p>
      <w:pPr>
        <w:spacing w:after="200" w:before="0"/>
      </w:pPr>
    </w:p>
    <w:p>
      <w:pPr>
        <w:spacing w:after="80" w:before="400"/>
        <w:jc w:val="center"/>
      </w:pPr>
      <w:r>
        <w:rPr>
          <w:rFonts w:ascii="Arial" w:cs="Arial" w:eastAsia="Arial" w:hAnsi="Arial"/>
          <w:b/>
          <w:bCs/>
          <w:caps/>
          <w:color w:val="1B3A6B"/>
          <w:sz w:val="26"/>
          <w:szCs w:val="26"/>
        </w:rPr>
        <w:t xml:space="preserve">PART III — BIOLOGICAL WEAPONS</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8</w:t>
      </w:r>
      <w:r>
        <w:rPr>
          <w:rFonts w:ascii="Arial" w:cs="Arial" w:eastAsia="Arial" w:hAnsi="Arial"/>
          <w:color w:val="666666"/>
          <w:sz w:val="22"/>
          <w:szCs w:val="22"/>
        </w:rPr>
        <w:t xml:space="preserve">  —  Definition and Prohibition — Biological Weapons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For the purposes of the present Convention, biological weapons means microbial or other biological agents or toxins whatever their origin or method of production, of types and in quantities that have no justification for prophylactic, protective, or other peaceful purposes, as well as weapons, equipment, or means of delivery designed to use such agents or toxins for hostile purposes or in armed conflict.</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Each State Party undertakes never in any circumstances to develop, produce, stockpile, or otherwise acquire or retain biological weapons; to transfer biological weapons to any recipient; or to use biological weapons under any circumstances.</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Each State Party undertakes to destroy, or to divert to peaceful purposes, all agents, toxins, weapons, equipment, and means of delivery within its jurisdiction or under its control, no later than five years after the entry into force of this Convention.</w:t>
      </w:r>
    </w:p>
    <w:p>
      <w:pPr>
        <w:spacing w:after="200" w:before="0"/>
      </w:pPr>
    </w:p>
    <w:p>
      <w:pPr>
        <w:spacing w:after="80" w:before="400"/>
        <w:jc w:val="center"/>
      </w:pPr>
      <w:r>
        <w:rPr>
          <w:rFonts w:ascii="Arial" w:cs="Arial" w:eastAsia="Arial" w:hAnsi="Arial"/>
          <w:b/>
          <w:bCs/>
          <w:caps/>
          <w:color w:val="1B3A6B"/>
          <w:sz w:val="26"/>
          <w:szCs w:val="26"/>
        </w:rPr>
        <w:t xml:space="preserve">PART IV — CHEMICAL WEAPONS</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9</w:t>
      </w:r>
      <w:r>
        <w:rPr>
          <w:rFonts w:ascii="Arial" w:cs="Arial" w:eastAsia="Arial" w:hAnsi="Arial"/>
          <w:color w:val="666666"/>
          <w:sz w:val="22"/>
          <w:szCs w:val="22"/>
        </w:rPr>
        <w:t xml:space="preserve">  —  Definition — Chemical Weapons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For the purposes of the present Convention, chemical weapons means the following, together or separately:</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Toxic chemicals and their precursors, except where intended for purposes not prohibited under this Convention, as long as the types and quantities are consistent with such purposes;</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Munitions and devices specifically designed to cause death or other harm through the toxic properties of those chemicals specified above;</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Any equipment specifically designed for use directly in connection with the employment of munitions and devices specified above.</w:t>
      </w:r>
    </w:p>
    <w:p>
      <w:pPr>
        <w:spacing w:after="60" w:before="220"/>
      </w:pPr>
      <w:r>
        <w:rPr>
          <w:rFonts w:ascii="Arial" w:cs="Arial" w:eastAsia="Arial" w:hAnsi="Arial"/>
          <w:b/>
          <w:bCs/>
          <w:color w:val="1B3A6B"/>
          <w:sz w:val="22"/>
          <w:szCs w:val="22"/>
        </w:rPr>
        <w:t xml:space="preserve">Article 10</w:t>
      </w:r>
      <w:r>
        <w:rPr>
          <w:rFonts w:ascii="Arial" w:cs="Arial" w:eastAsia="Arial" w:hAnsi="Arial"/>
          <w:color w:val="666666"/>
          <w:sz w:val="22"/>
          <w:szCs w:val="22"/>
        </w:rPr>
        <w:t xml:space="preserve">  —  Prohibition — Chemical Weapons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Each State Party undertakes never under any circumstances to develop, produce, otherwise acquire, stockpile, or retain chemical weapons, or transfer, directly or indirectly, chemical weapons to anyone.</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Each State Party undertakes never under any circumstances to use chemical weapons.</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Each State Party undertakes never under any circumstances to engage in any military preparations to use chemical weapons.</w:t>
      </w:r>
    </w:p>
    <w:p>
      <w:pPr>
        <w:spacing w:after="60" w:before="60" w:line="276"/>
        <w:ind w:left="720" w:hanging="360"/>
        <w:jc w:val="both"/>
      </w:pPr>
      <w:r>
        <w:rPr>
          <w:rFonts w:ascii="Garamond" w:cs="Garamond" w:eastAsia="Garamond" w:hAnsi="Garamond"/>
          <w:b/>
          <w:bCs/>
          <w:color w:val="333333"/>
          <w:sz w:val="22"/>
          <w:szCs w:val="22"/>
        </w:rPr>
        <w:t xml:space="preserve">4.  </w:t>
      </w:r>
      <w:r>
        <w:rPr>
          <w:rFonts w:ascii="Garamond" w:cs="Garamond" w:eastAsia="Garamond" w:hAnsi="Garamond"/>
          <w:color w:val="333333"/>
          <w:sz w:val="22"/>
          <w:szCs w:val="22"/>
        </w:rPr>
        <w:t xml:space="preserve">Each State Party undertakes to destroy chemical weapons it owns or possesses, or that are located in any place under its jurisdiction or control, and to destroy any chemical weapons production facilities it owns or possesses or that are located in any place under its jurisdiction or control.</w:t>
      </w:r>
    </w:p>
    <w:p>
      <w:pPr>
        <w:spacing w:after="200" w:before="0"/>
      </w:pPr>
    </w:p>
    <w:p>
      <w:pPr>
        <w:spacing w:after="80" w:before="400"/>
        <w:jc w:val="center"/>
      </w:pPr>
      <w:r>
        <w:rPr>
          <w:rFonts w:ascii="Arial" w:cs="Arial" w:eastAsia="Arial" w:hAnsi="Arial"/>
          <w:b/>
          <w:bCs/>
          <w:caps/>
          <w:color w:val="1B3A6B"/>
          <w:sz w:val="26"/>
          <w:szCs w:val="26"/>
        </w:rPr>
        <w:t xml:space="preserve">PART V — RADIOLOGICAL WEAPONS</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11</w:t>
      </w:r>
      <w:r>
        <w:rPr>
          <w:rFonts w:ascii="Arial" w:cs="Arial" w:eastAsia="Arial" w:hAnsi="Arial"/>
          <w:color w:val="666666"/>
          <w:sz w:val="22"/>
          <w:szCs w:val="22"/>
        </w:rPr>
        <w:t xml:space="preserve">  —  Definition and Prohibition — Radiological Weapons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For the purposes of the present Convention, radiological weapons means any device, other than a nuclear explosive device, designed to disperse radioactive material in a manner intended to cause harm to persons, property, or the environment through the effects of ionizing radiation.</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Each State Party undertakes never under any circumstances to develop, produce, stockpile, transfer, or use radiological weapons.</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prohibition on radiological weapons is distinct from and additional to the prohibition on nuclear weapons under Part II. A device that produces both nuclear explosion effects and radiological contamination is governed by Part II; a device designed primarily to disperse radioactive material without nuclear detonation is governed by this Article.</w:t>
      </w:r>
    </w:p>
    <w:p>
      <w:pPr>
        <w:spacing w:after="200" w:before="0"/>
      </w:pPr>
    </w:p>
    <w:p>
      <w:pPr>
        <w:spacing w:after="80" w:before="400"/>
        <w:jc w:val="center"/>
      </w:pPr>
      <w:r>
        <w:rPr>
          <w:rFonts w:ascii="Arial" w:cs="Arial" w:eastAsia="Arial" w:hAnsi="Arial"/>
          <w:b/>
          <w:bCs/>
          <w:caps/>
          <w:color w:val="1B3A6B"/>
          <w:sz w:val="26"/>
          <w:szCs w:val="26"/>
        </w:rPr>
        <w:t xml:space="preserve">PART VI — EMERGING AND AUTONOMOUS WEAPONS SYSTEMS</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12</w:t>
      </w:r>
      <w:r>
        <w:rPr>
          <w:rFonts w:ascii="Arial" w:cs="Arial" w:eastAsia="Arial" w:hAnsi="Arial"/>
          <w:color w:val="666666"/>
          <w:sz w:val="22"/>
          <w:szCs w:val="22"/>
        </w:rPr>
        <w:t xml:space="preserve">  —  Scope of Application to Emerging Technologies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prohibitions contained in Parts II through V of this Convention apply to weapons of mass destruction regardless of the technology used to develop, deliver, or deploy them, including emerging technologies.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High Contracting Parties recognize that advances in autonomous weapons systems, artificial intelligence, and other emerging military technologies may create weapons or weapons systems capable of causing effects equivalent to those of weapons of mass destruction as defined in this Convention.</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Where an autonomous weapons system or any other weapons system employing emerging technology is designed or reasonably expected to cause effects equivalent to those of weapons of mass destruction as defined in Article 2, the prohibitions of this Convention shall apply to that system.</w:t>
      </w:r>
    </w:p>
    <w:p>
      <w:pPr>
        <w:spacing w:after="60" w:before="220"/>
      </w:pPr>
      <w:r>
        <w:rPr>
          <w:rFonts w:ascii="Arial" w:cs="Arial" w:eastAsia="Arial" w:hAnsi="Arial"/>
          <w:b/>
          <w:bCs/>
          <w:color w:val="1B3A6B"/>
          <w:sz w:val="22"/>
          <w:szCs w:val="22"/>
        </w:rPr>
        <w:t xml:space="preserve">Article 13</w:t>
      </w:r>
      <w:r>
        <w:rPr>
          <w:rFonts w:ascii="Arial" w:cs="Arial" w:eastAsia="Arial" w:hAnsi="Arial"/>
          <w:color w:val="666666"/>
          <w:sz w:val="22"/>
          <w:szCs w:val="22"/>
        </w:rPr>
        <w:t xml:space="preserve">  —  Review and Adaptation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High Contracting Parties shall convene a review conference no later than five years after the entry into force of this Convention to assess the adequacy of the Convention's provisions in light of scientific and technological developments.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review conference shall consider whether additional categories of weapons or weapons systems should be brought within the scope of the Convention's prohibitions, having regard to their potential to cause mass casualties, indiscriminate harm, or widespread environmental destruction.</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Any State Party may propose that a specific weapons system or technology be reviewed for inclusion within the scope of the Convention. Such proposals shall be circulated to all State Parties and considered at the next review conference or at a specially convened meeting of State Parties.</w:t>
      </w:r>
    </w:p>
    <w:p>
      <w:pPr>
        <w:spacing w:after="200" w:before="0"/>
      </w:pPr>
    </w:p>
    <w:p>
      <w:pPr>
        <w:spacing w:after="80" w:before="400"/>
        <w:jc w:val="center"/>
      </w:pPr>
      <w:r>
        <w:rPr>
          <w:rFonts w:ascii="Arial" w:cs="Arial" w:eastAsia="Arial" w:hAnsi="Arial"/>
          <w:b/>
          <w:bCs/>
          <w:caps/>
          <w:color w:val="1B3A6B"/>
          <w:sz w:val="26"/>
          <w:szCs w:val="26"/>
        </w:rPr>
        <w:t xml:space="preserve">PART VII — VERIFICATION AND COMPLIANCE</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14</w:t>
      </w:r>
      <w:r>
        <w:rPr>
          <w:rFonts w:ascii="Arial" w:cs="Arial" w:eastAsia="Arial" w:hAnsi="Arial"/>
          <w:color w:val="666666"/>
          <w:sz w:val="22"/>
          <w:szCs w:val="22"/>
        </w:rPr>
        <w:t xml:space="preserve">  —  Declarations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Each State Party shall submit to the verification authority, no later than thirty days after this Convention enters into force for that state, declarations in which it:</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Specifies whether it possesses or has possessed weapons of mass destruction as defined in Article 2;</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Specifies the location, aggregate quantity, and detailed technical characteristics of all weapons of mass destruction in its possession;</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Specifies all facilities and locations at which such weapons are held or have been held, produced, or destroyed;</w:t>
      </w:r>
    </w:p>
    <w:p>
      <w:pPr>
        <w:spacing w:after="40" w:before="40" w:line="276"/>
        <w:ind w:left="1080" w:hanging="360"/>
        <w:jc w:val="both"/>
      </w:pPr>
      <w:r>
        <w:rPr>
          <w:rFonts w:ascii="Garamond" w:cs="Garamond" w:eastAsia="Garamond" w:hAnsi="Garamond"/>
          <w:b/>
          <w:bCs/>
          <w:color w:val="333333"/>
          <w:sz w:val="22"/>
          <w:szCs w:val="22"/>
        </w:rPr>
        <w:t xml:space="preserve">(d)  </w:t>
      </w:r>
      <w:r>
        <w:rPr>
          <w:rFonts w:ascii="Garamond" w:cs="Garamond" w:eastAsia="Garamond" w:hAnsi="Garamond"/>
          <w:color w:val="333333"/>
          <w:sz w:val="22"/>
          <w:szCs w:val="22"/>
        </w:rPr>
        <w:t xml:space="preserve">Provides such other information as the verification authority may require to establish a baseline for verification purposes.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Declarations shall be updated annually and whenever a material change occurs in the information previously provided.</w:t>
      </w:r>
    </w:p>
    <w:p>
      <w:pPr>
        <w:spacing w:after="60" w:before="220"/>
      </w:pPr>
      <w:r>
        <w:rPr>
          <w:rFonts w:ascii="Arial" w:cs="Arial" w:eastAsia="Arial" w:hAnsi="Arial"/>
          <w:b/>
          <w:bCs/>
          <w:color w:val="1B3A6B"/>
          <w:sz w:val="22"/>
          <w:szCs w:val="22"/>
        </w:rPr>
        <w:t xml:space="preserve">Article 15</w:t>
      </w:r>
      <w:r>
        <w:rPr>
          <w:rFonts w:ascii="Arial" w:cs="Arial" w:eastAsia="Arial" w:hAnsi="Arial"/>
          <w:color w:val="666666"/>
          <w:sz w:val="22"/>
          <w:szCs w:val="22"/>
        </w:rPr>
        <w:t xml:space="preserve">  —  Inspections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Each State Party undertakes to facilitate inspections by the verification authority for the purpose of verifying compliance with this Convention.</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Inspections may be conducted on a routine basis in accordance with an agreed inspection plan, or on a challenge basis where one State Party requests an inspection of another on the grounds of a compliance concern.</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States Parties shall not impede, obstruct, or otherwise interfere with inspections conducted under this Convention. Any attempt to conceal, relocate, or destroy weapons or related facilities in anticipation of or during an inspection shall constitute a material breach of the present Convention.</w:t>
      </w:r>
    </w:p>
    <w:p>
      <w:pPr>
        <w:spacing w:after="60" w:before="220"/>
      </w:pPr>
      <w:r>
        <w:rPr>
          <w:rFonts w:ascii="Arial" w:cs="Arial" w:eastAsia="Arial" w:hAnsi="Arial"/>
          <w:b/>
          <w:bCs/>
          <w:color w:val="1B3A6B"/>
          <w:sz w:val="22"/>
          <w:szCs w:val="22"/>
        </w:rPr>
        <w:t xml:space="preserve">Article 16</w:t>
      </w:r>
      <w:r>
        <w:rPr>
          <w:rFonts w:ascii="Arial" w:cs="Arial" w:eastAsia="Arial" w:hAnsi="Arial"/>
          <w:color w:val="666666"/>
          <w:sz w:val="22"/>
          <w:szCs w:val="22"/>
        </w:rPr>
        <w:t xml:space="preserve">  —  Peaceful Uses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Nothing in this Convention shall be interpreted as affecting the right of States Parties to develop, produce, and use nuclear energy for peaceful purposes.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Each State Party that conducts nuclear activities for peaceful purposes shall do so in compliance with applicable safety standards and shall submit such activities to the inspection and verification regime established under this Convention to confirm their exclusively peaceful character.</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right to peaceful nuclear energy under this Article does not affect the prohibition on nuclear weapons development and shall not be used as cover for activities prohibited under Part II of this Convention.</w:t>
      </w:r>
    </w:p>
    <w:p>
      <w:pPr>
        <w:spacing w:after="60" w:before="220"/>
      </w:pPr>
      <w:r>
        <w:rPr>
          <w:rFonts w:ascii="Arial" w:cs="Arial" w:eastAsia="Arial" w:hAnsi="Arial"/>
          <w:b/>
          <w:bCs/>
          <w:color w:val="1B3A6B"/>
          <w:sz w:val="22"/>
          <w:szCs w:val="22"/>
        </w:rPr>
        <w:t xml:space="preserve">Article 17</w:t>
      </w:r>
      <w:r>
        <w:rPr>
          <w:rFonts w:ascii="Arial" w:cs="Arial" w:eastAsia="Arial" w:hAnsi="Arial"/>
          <w:color w:val="666666"/>
          <w:sz w:val="22"/>
          <w:szCs w:val="22"/>
        </w:rPr>
        <w:t xml:space="preserve">  —  Verification Authority</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There is hereby established the Mir Weapons Verification Authority (MWVA), which shall be responsible for receiving declarations, conducting inspections, and reporting on compliance with the present Convention.</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MWVA shall report annually to the United Mirians General Assembly on the state of compliance with the present Convention.</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Where the MWVA determines that a State Party is in material breach of the present Convention, it shall refer the matter to the United Mirians General Assembly for appropriate action under the Charter of the United Mirians.</w:t>
      </w:r>
    </w:p>
    <w:p>
      <w:pPr>
        <w:spacing w:after="200" w:before="0"/>
      </w:pPr>
    </w:p>
    <w:p>
      <w:pPr>
        <w:spacing w:after="80" w:before="400"/>
        <w:jc w:val="center"/>
      </w:pPr>
      <w:r>
        <w:rPr>
          <w:rFonts w:ascii="Arial" w:cs="Arial" w:eastAsia="Arial" w:hAnsi="Arial"/>
          <w:b/>
          <w:bCs/>
          <w:caps/>
          <w:color w:val="1B3A6B"/>
          <w:sz w:val="26"/>
          <w:szCs w:val="26"/>
        </w:rPr>
        <w:t xml:space="preserve">PART VIII — RELATIONSHIP TO OTHER INSTRUMENTS AND CUSTOMARY LAW</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18</w:t>
      </w:r>
      <w:r>
        <w:rPr>
          <w:rFonts w:ascii="Arial" w:cs="Arial" w:eastAsia="Arial" w:hAnsi="Arial"/>
          <w:color w:val="666666"/>
          <w:sz w:val="22"/>
          <w:szCs w:val="22"/>
        </w:rPr>
        <w:t xml:space="preserve">  —  Relationship to the SWORD</w:t>
      </w:r>
    </w:p>
    <w:p>
      <w:pPr>
        <w:spacing w:after="60" w:before="60" w:line="276"/>
        <w:jc w:val="both"/>
      </w:pPr>
      <w:r>
        <w:rPr>
          <w:rFonts w:ascii="Garamond" w:cs="Garamond" w:eastAsia="Garamond" w:hAnsi="Garamond"/>
          <w:color w:val="333333"/>
          <w:sz w:val="22"/>
          <w:szCs w:val="22"/>
        </w:rPr>
        <w:t xml:space="preserve">The prohibitions contained in the present Convention are additional to and do not replace or supersede the obligations of States Parties under the Mir Standards on Warfare, Operations, and Rights of the Detained (SWORD). The use of any weapon prohibited under this Convention is also governed by the SWORD's prohibitions on indiscriminate weapons, disproportionate attacks, and environmental destruction. A state may be in violation of the SWORD independently of whether it is in violation of the present Convention.</w:t>
      </w:r>
    </w:p>
    <w:p>
      <w:pPr>
        <w:spacing w:after="60" w:before="40" w:line="260"/>
        <w:ind w:left="360"/>
        <w:jc w:val="both"/>
      </w:pPr>
      <w:r>
        <w:rPr>
          <w:rFonts w:ascii="Arial" w:cs="Arial" w:eastAsia="Arial" w:hAnsi="Arial"/>
          <w:i/>
          <w:iCs/>
          <w:color w:val="C5922A"/>
          <w:sz w:val="19"/>
          <w:szCs w:val="19"/>
        </w:rPr>
        <w:t xml:space="preserve">Cross-reference: SWORD Articles 20, 21, and 22 — governing means and methods of warfare independently of this Convention.</w:t>
      </w:r>
    </w:p>
    <w:p>
      <w:pPr>
        <w:spacing w:after="60" w:before="220"/>
      </w:pPr>
      <w:r>
        <w:rPr>
          <w:rFonts w:ascii="Arial" w:cs="Arial" w:eastAsia="Arial" w:hAnsi="Arial"/>
          <w:b/>
          <w:bCs/>
          <w:color w:val="1B3A6B"/>
          <w:sz w:val="22"/>
          <w:szCs w:val="22"/>
        </w:rPr>
        <w:t xml:space="preserve">Article 19</w:t>
      </w:r>
      <w:r>
        <w:rPr>
          <w:rFonts w:ascii="Arial" w:cs="Arial" w:eastAsia="Arial" w:hAnsi="Arial"/>
          <w:color w:val="666666"/>
          <w:sz w:val="22"/>
          <w:szCs w:val="22"/>
        </w:rPr>
        <w:t xml:space="preserve">  —  Customary Law Status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High Contracting Parties recognize that the prohibitions on biological and chemical weapons use contained in this Convention reflect customary international law binding upon all states regardless of their treaty obligations.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With respect to nuclear weapons, the High Contracting Parties acknowledge that the legal status of nuclear weapons use under customary international law is the subject of ongoing legal development. The Advisory Chamber of the High Court of Mir has addressed this question in the Mir Guidelines on the Legality of Weapons (GLOW), to which all States Parties are directed.</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prohibition on the transfer of nuclear weapons and related technology to non-nuclear states is recognized by all High Contracting Parties as a norm of customary international law regardless of treaty ratification.</w:t>
      </w:r>
    </w:p>
    <w:p>
      <w:pPr>
        <w:spacing w:after="60" w:before="40" w:line="260"/>
        <w:ind w:left="360"/>
        <w:jc w:val="both"/>
      </w:pPr>
      <w:r>
        <w:rPr>
          <w:rFonts w:ascii="Arial" w:cs="Arial" w:eastAsia="Arial" w:hAnsi="Arial"/>
          <w:i/>
          <w:iCs/>
          <w:color w:val="C5922A"/>
          <w:sz w:val="19"/>
          <w:szCs w:val="19"/>
        </w:rPr>
        <w:t xml:space="preserve">Cross-reference: GLOW — for the Advisory Chamber's analysis of nuclear weapons use under customary international law.</w:t>
      </w:r>
    </w:p>
    <w:p>
      <w:pPr>
        <w:spacing w:after="200" w:before="0"/>
      </w:pPr>
    </w:p>
    <w:p>
      <w:pPr>
        <w:spacing w:after="80" w:before="400"/>
        <w:jc w:val="center"/>
      </w:pPr>
      <w:r>
        <w:rPr>
          <w:rFonts w:ascii="Arial" w:cs="Arial" w:eastAsia="Arial" w:hAnsi="Arial"/>
          <w:b/>
          <w:bCs/>
          <w:caps/>
          <w:color w:val="1B3A6B"/>
          <w:sz w:val="26"/>
          <w:szCs w:val="26"/>
        </w:rPr>
        <w:t xml:space="preserve">PART IX — RESERVATIONS AND FINAL PROVISIONS</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20</w:t>
      </w:r>
      <w:r>
        <w:rPr>
          <w:rFonts w:ascii="Arial" w:cs="Arial" w:eastAsia="Arial" w:hAnsi="Arial"/>
          <w:color w:val="666666"/>
          <w:sz w:val="22"/>
          <w:szCs w:val="22"/>
        </w:rPr>
        <w:t xml:space="preserve">  —  Reservations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Reservations to the present Convention are permitted only in exceptional circumstances where a State Party determines that its national security situation requires a specific and limited derogation from the prohibitions of the Convention. Reservations shall:</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Be stated in specific and precise terms;</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Not be incompatible with the object and purpose of the Convention as stated in Article 1;</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Be accompanied by a good faith commitment to eliminate the conditions giving rise to the reservation;</w:t>
      </w:r>
    </w:p>
    <w:p>
      <w:pPr>
        <w:spacing w:after="40" w:before="40" w:line="276"/>
        <w:ind w:left="1080" w:hanging="360"/>
        <w:jc w:val="both"/>
      </w:pPr>
      <w:r>
        <w:rPr>
          <w:rFonts w:ascii="Garamond" w:cs="Garamond" w:eastAsia="Garamond" w:hAnsi="Garamond"/>
          <w:b/>
          <w:bCs/>
          <w:color w:val="333333"/>
          <w:sz w:val="22"/>
          <w:szCs w:val="22"/>
        </w:rPr>
        <w:t xml:space="preserve">(d)  </w:t>
      </w:r>
      <w:r>
        <w:rPr>
          <w:rFonts w:ascii="Garamond" w:cs="Garamond" w:eastAsia="Garamond" w:hAnsi="Garamond"/>
          <w:color w:val="333333"/>
          <w:sz w:val="22"/>
          <w:szCs w:val="22"/>
        </w:rPr>
        <w:t xml:space="preserve">Be accepted by at least three other State Parties as a condition of their legal validity.</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A reservation that, in the determination of any three State Parties acting jointly, is incompatible with the object and purpose of the Convention shall be of no legal effect. A challenge to the validity of a reservation may be submitted to the Advisory Chamber of the High Court of Mir for a binding ruling.</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Reservations shall be reviewed at each review conference convened under Article 13 and shall lapse automatically if the State Party has not reaffirmed the reservation within twelve months of each review conference.</w:t>
      </w:r>
    </w:p>
    <w:p>
      <w:pPr>
        <w:spacing w:after="60" w:before="60" w:line="276"/>
        <w:ind w:left="720" w:hanging="360"/>
        <w:jc w:val="both"/>
      </w:pPr>
      <w:r>
        <w:rPr>
          <w:rFonts w:ascii="Garamond" w:cs="Garamond" w:eastAsia="Garamond" w:hAnsi="Garamond"/>
          <w:b/>
          <w:bCs/>
          <w:color w:val="333333"/>
          <w:sz w:val="22"/>
          <w:szCs w:val="22"/>
        </w:rPr>
        <w:t xml:space="preserve">4.  </w:t>
      </w:r>
      <w:r>
        <w:rPr>
          <w:rFonts w:ascii="Garamond" w:cs="Garamond" w:eastAsia="Garamond" w:hAnsi="Garamond"/>
          <w:color w:val="333333"/>
          <w:sz w:val="22"/>
          <w:szCs w:val="22"/>
        </w:rPr>
        <w:t xml:space="preserve">A State Party entering a reservation under this Article shall notify all other State Parties and the Secretariat of the United Mirians of the reservation and its legal basis. Reservations shall be published as an Annex to the Convention and shall form part of the treaty record.</w:t>
      </w:r>
    </w:p>
    <w:p>
      <w:pPr>
        <w:spacing w:after="60" w:before="220"/>
      </w:pPr>
      <w:r>
        <w:rPr>
          <w:rFonts w:ascii="Arial" w:cs="Arial" w:eastAsia="Arial" w:hAnsi="Arial"/>
          <w:b/>
          <w:bCs/>
          <w:color w:val="1B3A6B"/>
          <w:sz w:val="22"/>
          <w:szCs w:val="22"/>
        </w:rPr>
        <w:t xml:space="preserve">Article 21</w:t>
      </w:r>
      <w:r>
        <w:rPr>
          <w:rFonts w:ascii="Arial" w:cs="Arial" w:eastAsia="Arial" w:hAnsi="Arial"/>
          <w:color w:val="666666"/>
          <w:sz w:val="22"/>
          <w:szCs w:val="22"/>
        </w:rPr>
        <w:t xml:space="preserve">  —  Withdrawal</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A State Party may withdraw from the present Convention if it decides that extraordinary events related to the subject matter of the Convention have jeopardized the supreme interests of the state. It shall give notice of such withdrawal three months in advance to all other State Parties and to the United Mirians General Assembly.</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Withdrawal shall not affect the legal obligations of a State Party with respect to acts committed prior to withdrawal. A state that has withdrawn from the Convention remains bound by the prohibition on weapons of mass destruction use to the extent that such prohibition reflects customary international law.</w:t>
      </w:r>
    </w:p>
    <w:p>
      <w:pPr>
        <w:spacing w:after="60" w:before="220"/>
      </w:pPr>
      <w:r>
        <w:rPr>
          <w:rFonts w:ascii="Arial" w:cs="Arial" w:eastAsia="Arial" w:hAnsi="Arial"/>
          <w:b/>
          <w:bCs/>
          <w:color w:val="1B3A6B"/>
          <w:sz w:val="22"/>
          <w:szCs w:val="22"/>
        </w:rPr>
        <w:t xml:space="preserve">Article 22</w:t>
      </w:r>
      <w:r>
        <w:rPr>
          <w:rFonts w:ascii="Arial" w:cs="Arial" w:eastAsia="Arial" w:hAnsi="Arial"/>
          <w:color w:val="666666"/>
          <w:sz w:val="22"/>
          <w:szCs w:val="22"/>
        </w:rPr>
        <w:t xml:space="preserve">  —  Signature, Ratification, and Entry into Force</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present Convention shall be open for signature by all states. It shall be subject to ratification by signatory states. Instruments of ratification shall be deposited with the Secretariat of the United Mirians.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present Convention shall enter into force upon deposit of instruments of ratification by all five Member States of the United Mirians.</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For states acceding after entry into force, the Convention shall enter into force upon deposit of their instrument of accession.</w:t>
      </w:r>
    </w:p>
    <w:p>
      <w:pPr>
        <w:spacing w:after="200" w:before="0"/>
      </w:pPr>
    </w:p>
    <w:p>
      <w:pPr>
        <w:spacing w:after="80" w:before="400"/>
        <w:jc w:val="center"/>
      </w:pPr>
      <w:r>
        <w:rPr>
          <w:rFonts w:ascii="Arial" w:cs="Arial" w:eastAsia="Arial" w:hAnsi="Arial"/>
          <w:b/>
          <w:bCs/>
          <w:caps/>
          <w:color w:val="1B3A6B"/>
          <w:sz w:val="26"/>
          <w:szCs w:val="26"/>
        </w:rPr>
        <w:t xml:space="preserve">DONE AND AUTHENTICATED</w:t>
      </w:r>
    </w:p>
    <w:p>
      <w:pPr>
        <w:pBdr>
          <w:bottom w:val="single" w:color="C5922A" w:sz="6" w:space="1"/>
        </w:pBdr>
        <w:spacing w:after="120" w:before="40"/>
      </w:pPr>
    </w:p>
    <w:p>
      <w:pPr>
        <w:spacing w:after="60" w:before="60" w:line="276"/>
        <w:jc w:val="both"/>
      </w:pPr>
      <w:r>
        <w:rPr>
          <w:rFonts w:ascii="Garamond" w:cs="Garamond" w:eastAsia="Garamond" w:hAnsi="Garamond"/>
          <w:color w:val="333333"/>
          <w:sz w:val="22"/>
          <w:szCs w:val="22"/>
        </w:rPr>
        <w:t xml:space="preserve">IN WITNESS WHEREOF the undersigned, duly authorized by their respective governments, have signed the present Convention.</w:t>
      </w:r>
    </w:p>
    <w:p>
      <w:pPr>
        <w:spacing w:after="80" w:before="0"/>
      </w:pPr>
    </w:p>
    <w:p>
      <w:pPr>
        <w:spacing w:after="60" w:before="60" w:line="276"/>
        <w:jc w:val="both"/>
      </w:pPr>
      <w:r>
        <w:rPr>
          <w:rFonts w:ascii="Garamond" w:cs="Garamond" w:eastAsia="Garamond" w:hAnsi="Garamond"/>
          <w:color w:val="333333"/>
          <w:sz w:val="22"/>
          <w:szCs w:val="22"/>
        </w:rPr>
        <w:t xml:space="preserve">DONE at the Conference of Mir on Disarmament, in a single original in the Mirian language, which shall be deposited with the Secretariat of the United Mirians.</w:t>
      </w:r>
    </w:p>
    <w:p>
      <w:pPr>
        <w:spacing w:after="160" w:before="0"/>
      </w:pPr>
    </w:p>
    <w:p>
      <w:pPr>
        <w:spacing w:after="40" w:before="80"/>
      </w:pPr>
      <w:r>
        <w:rPr>
          <w:rFonts w:ascii="Arial" w:cs="Arial" w:eastAsia="Arial" w:hAnsi="Arial"/>
          <w:b/>
          <w:bCs/>
          <w:color w:val="1B3A6B"/>
          <w:sz w:val="22"/>
          <w:szCs w:val="22"/>
        </w:rPr>
        <w:t xml:space="preserve">For Belogal:</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Ghanidash:</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Hin-Klia:</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Mikhailistan:</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Pramatra:</w:t>
      </w:r>
    </w:p>
    <w:p>
      <w:pPr>
        <w:pBdr>
          <w:bottom w:val="single" w:color="666666" w:sz="2" w:space="2"/>
        </w:pBdr>
        <w:spacing w:after="120" w:before="40"/>
      </w:pPr>
      <w:r>
        <w:rPr>
          <w:rFonts w:ascii="Garamond" w:cs="Garamond" w:eastAsia="Garamond" w:hAnsi="Garamond"/>
          <w:sz w:val="22"/>
          <w:szCs w:val="22"/>
        </w:rPr>
        <w:t xml:space="preserve"> </w:t>
      </w:r>
    </w:p>
    <w:p>
      <w:pPr>
        <w:spacing w:after="200" w:before="0"/>
      </w:pPr>
    </w:p>
    <w:p>
      <w:pPr>
        <w:spacing w:after="80" w:before="400"/>
        <w:jc w:val="center"/>
      </w:pPr>
      <w:r>
        <w:rPr>
          <w:rFonts w:ascii="Arial" w:cs="Arial" w:eastAsia="Arial" w:hAnsi="Arial"/>
          <w:b/>
          <w:bCs/>
          <w:caps/>
          <w:color w:val="1B3A6B"/>
          <w:sz w:val="26"/>
          <w:szCs w:val="26"/>
        </w:rPr>
        <w:t xml:space="preserve">ANNEX I — RESERVATION OF BELOGAL</w:t>
      </w:r>
    </w:p>
    <w:p>
      <w:pPr>
        <w:pBdr>
          <w:bottom w:val="single" w:color="6B1B1B" w:sz="6" w:space="1"/>
        </w:pBdr>
        <w:spacing w:after="80" w:before="40"/>
      </w:pPr>
    </w:p>
    <w:p>
      <w:pPr>
        <w:spacing w:after="80" w:before="80"/>
      </w:pPr>
      <w:r>
        <w:rPr>
          <w:rFonts w:ascii="Garamond" w:cs="Garamond" w:eastAsia="Garamond" w:hAnsi="Garamond"/>
          <w:i/>
          <w:iCs/>
          <w:color w:val="666666"/>
          <w:sz w:val="20"/>
          <w:szCs w:val="20"/>
        </w:rPr>
        <w:t xml:space="preserve">Deposited by the Government of Belogal upon ratification of the Mir Comprehensive Weapons Convention</w:t>
      </w:r>
    </w:p>
    <w:p>
      <w:pPr>
        <w:spacing w:after="80" w:before="0"/>
      </w:pPr>
    </w:p>
    <w:p>
      <w:pPr>
        <w:pBdr>
          <w:top w:val="single" w:color="6B1B1B" w:sz="6" w:space="4"/>
          <w:left w:val="single" w:color="6B1B1B" w:sz="12" w:space="8"/>
          <w:bottom w:val="single" w:color="6B1B1B" w:sz="2" w:space="4"/>
          <w:right w:val="single" w:color="6B1B1B" w:sz="6" w:space="4"/>
        </w:pBdr>
        <w:spacing w:after="80" w:before="240"/>
      </w:pPr>
      <w:r>
        <w:rPr>
          <w:rFonts w:ascii="Arial" w:cs="Arial" w:eastAsia="Arial" w:hAnsi="Arial"/>
          <w:b/>
          <w:bCs/>
          <w:caps/>
          <w:color w:val="6B1B1B"/>
          <w:sz w:val="22"/>
          <w:szCs w:val="22"/>
        </w:rPr>
        <w:t xml:space="preserve">ANNEX I — RESERVATION OF BELOGAL</w:t>
      </w:r>
    </w:p>
    <w:p>
      <w:pPr>
        <w:pBdr>
          <w:left w:val="single" w:color="6B1B1B" w:sz="12" w:space="8"/>
          <w:right w:val="single" w:color="6B1B1B" w:sz="6" w:space="4"/>
        </w:pBdr>
        <w:spacing w:after="60" w:before="60" w:line="276"/>
        <w:ind w:left="360"/>
        <w:jc w:val="both"/>
      </w:pPr>
      <w:r>
        <w:rPr>
          <w:rFonts w:ascii="Garamond" w:cs="Garamond" w:eastAsia="Garamond" w:hAnsi="Garamond"/>
          <w:color w:val="333333"/>
          <w:sz w:val="22"/>
          <w:szCs w:val="22"/>
        </w:rPr>
        <w:t xml:space="preserve">Belogal accedes to the present Convention and affirms its commitment to the complete elimination of nuclear weapons as a long-term objective of Belogal's foreign and security policy.</w:t>
      </w:r>
    </w:p>
    <w:p>
      <w:pPr>
        <w:pBdr>
          <w:left w:val="single" w:color="6B1B1B" w:sz="12" w:space="8"/>
          <w:right w:val="single" w:color="6B1B1B" w:sz="6" w:space="4"/>
        </w:pBdr>
        <w:spacing w:after="60" w:before="60" w:line="276"/>
        <w:ind w:left="360"/>
        <w:jc w:val="both"/>
      </w:pPr>
      <w:r>
        <w:rPr>
          <w:rFonts w:ascii="Garamond" w:cs="Garamond" w:eastAsia="Garamond" w:hAnsi="Garamond"/>
          <w:color w:val="333333"/>
          <w:sz w:val="22"/>
          <w:szCs w:val="22"/>
        </w:rPr>
        <w:t xml:space="preserve">Belogal enters the following reservation pursuant to Article 20 of the Convention:</w:t>
      </w:r>
    </w:p>
    <w:p>
      <w:pPr>
        <w:pBdr>
          <w:left w:val="single" w:color="6B1B1B" w:sz="12" w:space="8"/>
          <w:right w:val="single" w:color="6B1B1B" w:sz="6" w:space="4"/>
        </w:pBdr>
        <w:spacing w:after="60" w:before="60" w:line="276"/>
        <w:ind w:left="360"/>
        <w:jc w:val="both"/>
      </w:pPr>
      <w:r>
        <w:rPr>
          <w:rFonts w:ascii="Garamond" w:cs="Garamond" w:eastAsia="Garamond" w:hAnsi="Garamond"/>
          <w:color w:val="333333"/>
          <w:sz w:val="22"/>
          <w:szCs w:val="22"/>
        </w:rPr>
        <w:t xml:space="preserve">Nothing in the present Convention, and in particular nothing in Articles 3, 6, and 10 thereof, shall be construed to prohibit the use of nuclear weapons by Belogal in circumstances of extreme national necessity, including in defense of Belogal's territorial integrity and the survival of the Belogal state, provided that:</w:t>
      </w:r>
    </w:p>
    <w:p>
      <w:pPr>
        <w:pBdr>
          <w:left w:val="single" w:color="6B1B1B" w:sz="12" w:space="8"/>
          <w:right w:val="single" w:color="6B1B1B" w:sz="6" w:space="4"/>
        </w:pBdr>
        <w:spacing w:after="60" w:before="60" w:line="276"/>
        <w:ind w:left="360"/>
        <w:jc w:val="both"/>
      </w:pPr>
      <w:r>
        <w:rPr>
          <w:rFonts w:ascii="Garamond" w:cs="Garamond" w:eastAsia="Garamond" w:hAnsi="Garamond"/>
          <w:color w:val="333333"/>
          <w:sz w:val="22"/>
          <w:szCs w:val="22"/>
        </w:rPr>
        <w:t xml:space="preserve">(i)  such use is proportionate to the threat faced and limited to the minimum necessary to address that threat;</w:t>
      </w:r>
    </w:p>
    <w:p>
      <w:pPr>
        <w:pBdr>
          <w:left w:val="single" w:color="6B1B1B" w:sz="12" w:space="8"/>
          <w:right w:val="single" w:color="6B1B1B" w:sz="6" w:space="4"/>
        </w:pBdr>
        <w:spacing w:after="60" w:before="60" w:line="276"/>
        <w:ind w:left="360"/>
        <w:jc w:val="both"/>
      </w:pPr>
      <w:r>
        <w:rPr>
          <w:rFonts w:ascii="Garamond" w:cs="Garamond" w:eastAsia="Garamond" w:hAnsi="Garamond"/>
          <w:color w:val="333333"/>
          <w:sz w:val="22"/>
          <w:szCs w:val="22"/>
        </w:rPr>
        <w:t xml:space="preserve">(ii)  all reasonable means of conventional defense have been exhausted or are unavailable; and</w:t>
      </w:r>
    </w:p>
    <w:p>
      <w:pPr>
        <w:pBdr>
          <w:left w:val="single" w:color="6B1B1B" w:sz="12" w:space="8"/>
          <w:right w:val="single" w:color="6B1B1B" w:sz="6" w:space="4"/>
        </w:pBdr>
        <w:spacing w:after="60" w:before="60" w:line="276"/>
        <w:ind w:left="360"/>
        <w:jc w:val="both"/>
      </w:pPr>
      <w:r>
        <w:rPr>
          <w:rFonts w:ascii="Garamond" w:cs="Garamond" w:eastAsia="Garamond" w:hAnsi="Garamond"/>
          <w:color w:val="333333"/>
          <w:sz w:val="22"/>
          <w:szCs w:val="22"/>
        </w:rPr>
        <w:t xml:space="preserve">(iii)  the decision to employ nuclear weapons has been taken at the highest level of Belogal's constitutional authority.</w:t>
      </w:r>
    </w:p>
    <w:p>
      <w:pPr>
        <w:pBdr>
          <w:left w:val="single" w:color="6B1B1B" w:sz="12" w:space="8"/>
          <w:right w:val="single" w:color="6B1B1B" w:sz="6" w:space="4"/>
        </w:pBdr>
        <w:spacing w:after="60" w:before="60" w:line="276"/>
        <w:ind w:left="360"/>
        <w:jc w:val="both"/>
      </w:pPr>
      <w:r>
        <w:rPr>
          <w:rFonts w:ascii="Garamond" w:cs="Garamond" w:eastAsia="Garamond" w:hAnsi="Garamond"/>
          <w:color w:val="333333"/>
          <w:sz w:val="22"/>
          <w:szCs w:val="22"/>
        </w:rPr>
        <w:t xml:space="preserve">Belogal reaffirms its commitment to the eventual elimination of nuclear weapons from its arsenal and undertakes to pursue this objective in good faith through bilateral and multilateral negotiations. Belogal regards this reservation as a transitional measure pending the achievement of a general and verifiable reduction of nuclear capabilities across Mir.</w:t>
      </w:r>
    </w:p>
    <w:p>
      <w:pPr>
        <w:pBdr>
          <w:left w:val="single" w:color="6B1B1B" w:sz="12" w:space="8"/>
          <w:right w:val="single" w:color="6B1B1B" w:sz="6" w:space="4"/>
        </w:pBdr>
        <w:spacing w:after="60" w:before="60" w:line="276"/>
        <w:ind w:left="360"/>
        <w:jc w:val="both"/>
      </w:pPr>
      <w:r>
        <w:rPr>
          <w:rFonts w:ascii="Garamond" w:cs="Garamond" w:eastAsia="Garamond" w:hAnsi="Garamond"/>
          <w:color w:val="333333"/>
          <w:sz w:val="22"/>
          <w:szCs w:val="22"/>
        </w:rPr>
        <w:t xml:space="preserve">Belogal acknowledges that nothing in this reservation affects its obligations under the Mir Standards on Warfare, Operations, and Rights of the Detained (SWORD), and that any use of nuclear weapons remains subject to the requirements of distinction, proportionality, and precaution established therein.</w:t>
      </w:r>
    </w:p>
    <w:p>
      <w:pPr>
        <w:pBdr>
          <w:left w:val="single" w:color="6B1B1B" w:sz="12" w:space="8"/>
          <w:bottom w:val="single" w:color="6B1B1B" w:sz="6" w:space="4"/>
          <w:right w:val="single" w:color="6B1B1B" w:sz="6" w:space="4"/>
        </w:pBdr>
        <w:spacing w:after="240" w:before="60"/>
      </w:pPr>
      <w:r>
        <w:rPr>
          <w:rFonts w:ascii="Garamond" w:cs="Garamond" w:eastAsia="Garamond" w:hAnsi="Garamond"/>
          <w:sz w:val="22"/>
          <w:szCs w:val="22"/>
        </w:rPr>
        <w:t xml:space="preserve"> </w:t>
      </w:r>
    </w:p>
    <w:p>
      <w:pPr>
        <w:spacing w:after="120" w:before="0"/>
      </w:pPr>
    </w:p>
    <w:p>
      <w:pPr>
        <w:spacing w:after="80" w:before="400"/>
        <w:jc w:val="center"/>
      </w:pPr>
      <w:r>
        <w:rPr>
          <w:rFonts w:ascii="Arial" w:cs="Arial" w:eastAsia="Arial" w:hAnsi="Arial"/>
          <w:b/>
          <w:bCs/>
          <w:caps/>
          <w:color w:val="1B3A6B"/>
          <w:sz w:val="26"/>
          <w:szCs w:val="26"/>
        </w:rPr>
        <w:t xml:space="preserve">ANNEX II — ACCEPTANCE NOTATIONS OF STATE PARTIES</w:t>
      </w:r>
    </w:p>
    <w:p>
      <w:pPr>
        <w:pBdr>
          <w:bottom w:val="single" w:color="1B3A6B" w:sz="6" w:space="1"/>
        </w:pBdr>
        <w:spacing w:after="120" w:before="40"/>
      </w:pPr>
    </w:p>
    <w:p>
      <w:pPr>
        <w:spacing w:after="80" w:before="80"/>
      </w:pPr>
      <w:r>
        <w:rPr>
          <w:rFonts w:ascii="Garamond" w:cs="Garamond" w:eastAsia="Garamond" w:hAnsi="Garamond"/>
          <w:i/>
          <w:iCs/>
          <w:color w:val="666666"/>
          <w:sz w:val="20"/>
          <w:szCs w:val="20"/>
        </w:rPr>
        <w:t xml:space="preserve">The following notations record the position of each State Party with respect to the Reservation of Belogal set out in Annex I, as required by Article 20(1)(d) of the Convention.</w:t>
      </w:r>
    </w:p>
    <w:p>
      <w:pPr>
        <w:spacing w:after="80" w:before="0"/>
      </w:pPr>
    </w:p>
    <w:p>
      <w:pPr>
        <w:spacing w:after="40" w:before="120"/>
      </w:pPr>
      <w:r>
        <w:rPr>
          <w:rFonts w:ascii="Arial" w:cs="Arial" w:eastAsia="Arial" w:hAnsi="Arial"/>
          <w:b/>
          <w:bCs/>
          <w:color w:val="1B3A6B"/>
          <w:sz w:val="22"/>
          <w:szCs w:val="22"/>
        </w:rPr>
        <w:t xml:space="preserve">Ghanidash:  </w:t>
      </w:r>
      <w:r>
        <w:rPr>
          <w:rFonts w:ascii="Garamond" w:cs="Garamond" w:eastAsia="Garamond" w:hAnsi="Garamond"/>
          <w:i/>
          <w:iCs/>
          <w:color w:val="333333"/>
          <w:sz w:val="22"/>
          <w:szCs w:val="22"/>
        </w:rPr>
        <w:t xml:space="preserve">Accepts the Reservation of Belogal subject to the condition that the reservation shall be interpreted strictly and shall not be construed to permit the use of nuclear weapons in any territory other than Belogal's internationally recognized sovereign territory. Ghanidash reserves the right to challenge the validity of the reservation before the Advisory Chamber of the High Court of Mir.</w:t>
      </w:r>
    </w:p>
    <w:p>
      <w:pPr>
        <w:spacing w:after="60" w:before="0"/>
      </w:pPr>
    </w:p>
    <w:p>
      <w:pPr>
        <w:spacing w:after="40" w:before="120"/>
      </w:pPr>
      <w:r>
        <w:rPr>
          <w:rFonts w:ascii="Arial" w:cs="Arial" w:eastAsia="Arial" w:hAnsi="Arial"/>
          <w:b/>
          <w:bCs/>
          <w:color w:val="1B3A6B"/>
          <w:sz w:val="22"/>
          <w:szCs w:val="22"/>
        </w:rPr>
        <w:t xml:space="preserve">Hin-Klia:  </w:t>
      </w:r>
      <w:r>
        <w:rPr>
          <w:rFonts w:ascii="Garamond" w:cs="Garamond" w:eastAsia="Garamond" w:hAnsi="Garamond"/>
          <w:i/>
          <w:iCs/>
          <w:color w:val="333333"/>
          <w:sz w:val="22"/>
          <w:szCs w:val="22"/>
        </w:rPr>
        <w:t xml:space="preserve">Accepts the Reservation of Belogal on the understanding that the phrase 'extreme national necessity' shall be interpreted consistently with the requirements of customary international law and shall not authorize any use of nuclear weapons that violates the SWORD or any other applicable rule of international humanitarian law.</w:t>
      </w:r>
    </w:p>
    <w:p>
      <w:pPr>
        <w:spacing w:after="60" w:before="0"/>
      </w:pPr>
    </w:p>
    <w:p>
      <w:pPr>
        <w:spacing w:after="40" w:before="120"/>
      </w:pPr>
      <w:r>
        <w:rPr>
          <w:rFonts w:ascii="Arial" w:cs="Arial" w:eastAsia="Arial" w:hAnsi="Arial"/>
          <w:b/>
          <w:bCs/>
          <w:color w:val="1B3A6B"/>
          <w:sz w:val="22"/>
          <w:szCs w:val="22"/>
        </w:rPr>
        <w:t xml:space="preserve">Mikhailistan:  </w:t>
      </w:r>
      <w:r>
        <w:rPr>
          <w:rFonts w:ascii="Garamond" w:cs="Garamond" w:eastAsia="Garamond" w:hAnsi="Garamond"/>
          <w:i/>
          <w:iCs/>
          <w:color w:val="333333"/>
          <w:sz w:val="22"/>
          <w:szCs w:val="22"/>
        </w:rPr>
        <w:t xml:space="preserve">Accepts the Reservation of Belogal on the understanding that the reservation's validity is contingent upon Belogal's continued good faith pursuit of nuclear disarmament as specified therein. Mikhailistan further notes that the reservation's proportionality and necessity conditions constitute binding legal constraints on any exercise of the reserved right and are not mere political commitments.</w:t>
      </w:r>
    </w:p>
    <w:p>
      <w:pPr>
        <w:spacing w:after="60" w:before="0"/>
      </w:pPr>
    </w:p>
    <w:p>
      <w:pPr>
        <w:spacing w:after="40" w:before="120"/>
      </w:pPr>
      <w:r>
        <w:rPr>
          <w:rFonts w:ascii="Arial" w:cs="Arial" w:eastAsia="Arial" w:hAnsi="Arial"/>
          <w:b/>
          <w:bCs/>
          <w:color w:val="1B3A6B"/>
          <w:sz w:val="22"/>
          <w:szCs w:val="22"/>
        </w:rPr>
        <w:t xml:space="preserve">Pramatra:  </w:t>
      </w:r>
      <w:r>
        <w:rPr>
          <w:rFonts w:ascii="Garamond" w:cs="Garamond" w:eastAsia="Garamond" w:hAnsi="Garamond"/>
          <w:i/>
          <w:iCs/>
          <w:color w:val="333333"/>
          <w:sz w:val="22"/>
          <w:szCs w:val="22"/>
        </w:rPr>
        <w:t xml:space="preserve">Accepts the Reservation of Belogal on the condition that the reservation shall in no circumstances be interpreted to authorize the use of nuclear weapons against the civilian population of any state or in any area containing a significant civilian population. Pramatra notes that the conditions stated in the reservation are cumulative and that failure to satisfy any one of them renders any purported exercise of the reserved right unlawful.</w:t>
      </w:r>
    </w:p>
    <w:p>
      <w:pPr>
        <w:spacing w:after="120" w:before="0"/>
      </w:pPr>
    </w:p>
    <w:p>
      <w:pPr>
        <w:pBdr>
          <w:top w:val="single" w:color="1B3A6B" w:sz="4" w:space="4"/>
        </w:pBdr>
        <w:spacing w:after="80" w:before="80"/>
      </w:pPr>
      <w:r>
        <w:rPr>
          <w:rFonts w:ascii="Garamond" w:cs="Garamond" w:eastAsia="Garamond" w:hAnsi="Garamond"/>
          <w:i/>
          <w:iCs/>
          <w:color w:val="666666"/>
          <w:sz w:val="20"/>
          <w:szCs w:val="20"/>
        </w:rPr>
        <w:t xml:space="preserve">Note: The acceptance notations of Ghanidash, Hin-Klia, Mikhailistan, and Pramatra form part of the treaty record and are legally relevant to the interpretation of the scope and validity of the Reservation of Belogal. In the event of a dispute concerning the reservation, these notations shall be considered in accordance with Articles 31 and 32 of the customary law of treaties as reflected in the Mir Restatement of Customary International Law (MRCIL).</w:t>
      </w:r>
    </w:p>
    <w:sectPr>
      <w:headerReference w:type="default" r:id="rId7"/>
      <w:footerReference w:type="default" r:id="rId8"/>
      <w:pgSz w:w="12240" w:h="15840" w:orient="portrait"/>
      <w:pgMar w:top="1440" w:right="1260" w:bottom="144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922A" w:sz="4" w:space="4"/>
      </w:pBdr>
      <w:tabs>
        <w:tab w:val="right" w:pos="9360"/>
      </w:tabs>
      <w:spacing w:before="80"/>
    </w:pPr>
    <w:r>
      <w:rPr>
        <w:rFonts w:ascii="Arial" w:cs="Arial" w:eastAsia="Arial" w:hAnsi="Arial"/>
        <w:color w:val="666666"/>
        <w:sz w:val="16"/>
        <w:szCs w:val="16"/>
      </w:rPr>
      <w:t xml:space="preserve">United Mirians  |  Mir Comprehensive Weapons Convention  |  With Annex I: Reservation of Belogal</w:t>
    </w:r>
    <w:r>
      <w:t xml:space="preserve">	</w:t>
    </w:r>
    <w:fldSimple w:instr="[object Objec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922A" w:sz="4" w:space="4"/>
      </w:pBdr>
      <w:tabs>
        <w:tab w:val="right" w:pos="9360"/>
      </w:tabs>
      <w:spacing w:after="80"/>
    </w:pPr>
    <w:r>
      <w:rPr>
        <w:rFonts w:ascii="Arial" w:cs="Arial" w:eastAsia="Arial" w:hAnsi="Arial"/>
        <w:b/>
        <w:bCs/>
        <w:color w:val="1B3A6B"/>
        <w:sz w:val="16"/>
        <w:szCs w:val="16"/>
      </w:rPr>
      <w:t xml:space="preserve">MIR COMPREHENSIVE WEAPONS CONVENTION (MCWC)</w:t>
    </w:r>
    <w:r>
      <w:t xml:space="preserve">	</w:t>
    </w:r>
    <w:r>
      <w:rPr>
        <w:rFonts w:ascii="Arial" w:cs="Arial" w:eastAsia="Arial" w:hAnsi="Arial"/>
        <w:color w:val="666666"/>
        <w:sz w:val="16"/>
        <w:szCs w:val="16"/>
      </w:rPr>
      <w:t xml:space="preserve">UM DOC/MCWC/001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rial" w:cs="Arial" w:eastAsia="Arial" w:hAnsi="Arial"/>
      <w:b/>
      <w:bCs/>
      <w:color w:val="1B3A6B"/>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2026-05-24T04:38:25.888Z</dcterms:created>
  <dcterms:modified xsi:type="dcterms:W3CDTF">2026-05-24T04:38:25.903Z</dcterms:modified>
</cp:coreProperties>
</file>

<file path=docProps/custom.xml><?xml version="1.0" encoding="utf-8"?>
<Properties xmlns="http://schemas.openxmlformats.org/officeDocument/2006/custom-properties" xmlns:vt="http://schemas.openxmlformats.org/officeDocument/2006/docPropsVTypes"/>
</file>