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0" w:before="0"/>
      </w:pPr>
    </w:p>
    <w:p>
      <w:pPr>
        <w:jc w:val="center"/>
      </w:pPr>
      <w:r>
        <w:rPr>
          <w:rFonts w:ascii="Arial" w:cs="Arial" w:eastAsia="Arial" w:hAnsi="Arial"/>
          <w:b/>
          <w:bCs/>
          <w:color w:val="1B3A6B"/>
          <w:sz w:val="72"/>
          <w:szCs w:val="72"/>
        </w:rPr>
        <w:t xml:space="preserve">💥</w:t>
      </w:r>
    </w:p>
    <w:p>
      <w:pPr>
        <w:spacing w:after="120" w:before="0"/>
      </w:pPr>
    </w:p>
    <w:p>
      <w:pPr>
        <w:jc w:val="center"/>
      </w:pPr>
      <w:r>
        <w:rPr>
          <w:rFonts w:ascii="Arial" w:cs="Arial" w:eastAsia="Arial" w:hAnsi="Arial"/>
          <w:b/>
          <w:bCs/>
          <w:caps/>
          <w:color w:val="1B3A6B"/>
          <w:sz w:val="36"/>
          <w:szCs w:val="36"/>
        </w:rPr>
        <w:t xml:space="preserve">STANDARDS ON CLUSTER MUNITIONS, ANTI-PERSONNEL</w:t>
      </w:r>
    </w:p>
    <w:p>
      <w:pPr>
        <w:jc w:val="center"/>
      </w:pPr>
      <w:r>
        <w:rPr>
          <w:rFonts w:ascii="Arial" w:cs="Arial" w:eastAsia="Arial" w:hAnsi="Arial"/>
          <w:b/>
          <w:bCs/>
          <w:caps/>
          <w:color w:val="1B3A6B"/>
          <w:sz w:val="36"/>
          <w:szCs w:val="36"/>
        </w:rPr>
        <w:t xml:space="preserve">MINES, AND RELATED WEAPONS</w:t>
      </w:r>
    </w:p>
    <w:p>
      <w:pPr>
        <w:spacing w:after="60" w:before="0"/>
      </w:pPr>
    </w:p>
    <w:p>
      <w:pPr>
        <w:jc w:val="center"/>
      </w:pPr>
      <w:r>
        <w:rPr>
          <w:rFonts w:ascii="Arial" w:cs="Arial" w:eastAsia="Arial" w:hAnsi="Arial"/>
          <w:b/>
          <w:bCs/>
          <w:color w:val="C5922A"/>
          <w:sz w:val="28"/>
          <w:szCs w:val="28"/>
        </w:rPr>
        <w:t xml:space="preserve">( SCAR )</w:t>
      </w:r>
    </w:p>
    <w:p>
      <w:pPr>
        <w:spacing w:after="80" w:before="0"/>
      </w:pPr>
    </w:p>
    <w:p>
      <w:pPr>
        <w:pBdr>
          <w:bottom w:val="single" w:color="C5922A" w:sz="6" w:space="1"/>
        </w:pBdr>
        <w:spacing w:after="0" w:before="0"/>
      </w:pPr>
    </w:p>
    <w:p>
      <w:pPr>
        <w:spacing w:after="80" w:before="0"/>
      </w:pPr>
    </w:p>
    <w:p>
      <w:pPr>
        <w:jc w:val="center"/>
      </w:pPr>
      <w:r>
        <w:rPr>
          <w:rFonts w:ascii="Garamond" w:cs="Garamond" w:eastAsia="Garamond" w:hAnsi="Garamond"/>
          <w:i/>
          <w:iCs/>
          <w:color w:val="666666"/>
          <w:sz w:val="22"/>
          <w:szCs w:val="22"/>
        </w:rPr>
        <w:t xml:space="preserve">Adopted at the Conference of Mir on Conventional Weapons</w:t>
      </w:r>
    </w:p>
    <w:p>
      <w:pPr>
        <w:jc w:val="center"/>
      </w:pPr>
      <w:r>
        <w:rPr>
          <w:rFonts w:ascii="Garamond" w:cs="Garamond" w:eastAsia="Garamond" w:hAnsi="Garamond"/>
          <w:i/>
          <w:iCs/>
          <w:color w:val="666666"/>
          <w:sz w:val="22"/>
          <w:szCs w:val="22"/>
        </w:rPr>
        <w:t xml:space="preserve">Deposited with the Secretariat of the United Mirians</w:t>
      </w:r>
    </w:p>
    <w:p>
      <w:pPr>
        <w:spacing w:after="80" w:before="0"/>
      </w:pPr>
    </w:p>
    <w:p>
      <w:pPr>
        <w:pBdr>
          <w:bottom w:val="single" w:color="C5922A" w:sz="6" w:space="1"/>
        </w:pBdr>
        <w:spacing w:after="0" w:before="0"/>
      </w:pPr>
    </w:p>
    <w:p>
      <w:pPr>
        <w:spacing w:after="400" w:before="0"/>
      </w:pPr>
    </w:p>
    <w:p>
      <w:pPr>
        <w:spacing w:after="80" w:before="400"/>
        <w:jc w:val="center"/>
      </w:pPr>
      <w:r>
        <w:rPr>
          <w:rFonts w:ascii="Arial" w:cs="Arial" w:eastAsia="Arial" w:hAnsi="Arial"/>
          <w:b/>
          <w:bCs/>
          <w:caps/>
          <w:color w:val="1B3A6B"/>
          <w:sz w:val="26"/>
          <w:szCs w:val="26"/>
        </w:rPr>
        <w:t xml:space="preserve">PREAMBLE</w:t>
      </w:r>
    </w:p>
    <w:p>
      <w:pPr>
        <w:pBdr>
          <w:bottom w:val="single" w:color="1B3A6B" w:sz="6" w:space="1"/>
        </w:pBdr>
        <w:spacing w:after="160" w:before="40"/>
      </w:pPr>
    </w:p>
    <w:p>
      <w:pPr>
        <w:spacing w:after="80" w:before="80" w:line="300"/>
        <w:ind w:left="360"/>
        <w:jc w:val="both"/>
      </w:pPr>
      <w:r>
        <w:rPr>
          <w:rFonts w:ascii="Garamond" w:cs="Garamond" w:eastAsia="Garamond" w:hAnsi="Garamond"/>
          <w:i/>
          <w:iCs/>
          <w:color w:val="333333"/>
          <w:sz w:val="22"/>
          <w:szCs w:val="22"/>
        </w:rPr>
        <w:t xml:space="preserve">THE HIGH CONTRACTING PARTIES,</w:t>
      </w:r>
    </w:p>
    <w:p>
      <w:pPr>
        <w:spacing w:after="40" w:before="0"/>
      </w:pPr>
    </w:p>
    <w:p>
      <w:pPr>
        <w:spacing w:after="80" w:before="80" w:line="300"/>
        <w:ind w:left="360"/>
        <w:jc w:val="both"/>
      </w:pPr>
      <w:r>
        <w:rPr>
          <w:rFonts w:ascii="Garamond" w:cs="Garamond" w:eastAsia="Garamond" w:hAnsi="Garamond"/>
          <w:i/>
          <w:iCs/>
          <w:color w:val="333333"/>
          <w:sz w:val="22"/>
          <w:szCs w:val="22"/>
        </w:rPr>
        <w:t xml:space="preserve">DETERMINED to put an end to the suffering and casualties caused by anti-personnel mines and cluster munitions,</w:t>
      </w:r>
    </w:p>
    <w:p>
      <w:pPr>
        <w:spacing w:after="80" w:before="80" w:line="300"/>
        <w:ind w:left="360"/>
        <w:jc w:val="both"/>
      </w:pPr>
      <w:r>
        <w:rPr>
          <w:rFonts w:ascii="Garamond" w:cs="Garamond" w:eastAsia="Garamond" w:hAnsi="Garamond"/>
          <w:i/>
          <w:iCs/>
          <w:color w:val="333333"/>
          <w:sz w:val="22"/>
          <w:szCs w:val="22"/>
        </w:rPr>
        <w:t xml:space="preserve">RECOGNIZING that anti-personnel mines and cluster munitions kill or injure civilians, including women and children, often long after conflicts have ended,</w:t>
      </w:r>
    </w:p>
    <w:p>
      <w:pPr>
        <w:spacing w:after="80" w:before="80" w:line="300"/>
        <w:ind w:left="360"/>
        <w:jc w:val="both"/>
      </w:pPr>
      <w:r>
        <w:rPr>
          <w:rFonts w:ascii="Garamond" w:cs="Garamond" w:eastAsia="Garamond" w:hAnsi="Garamond"/>
          <w:i/>
          <w:iCs/>
          <w:color w:val="333333"/>
          <w:sz w:val="22"/>
          <w:szCs w:val="22"/>
        </w:rPr>
        <w:t xml:space="preserve">NOTING that the prohibition on weapons causing superfluous injury and unnecessary suffering applies to these weapons categories,</w:t>
      </w:r>
    </w:p>
    <w:p>
      <w:pPr>
        <w:spacing w:after="80" w:before="80" w:line="300"/>
        <w:ind w:left="360"/>
        <w:jc w:val="both"/>
      </w:pPr>
      <w:r>
        <w:rPr>
          <w:rFonts w:ascii="Garamond" w:cs="Garamond" w:eastAsia="Garamond" w:hAnsi="Garamond"/>
          <w:i/>
          <w:iCs/>
          <w:color w:val="333333"/>
          <w:sz w:val="22"/>
          <w:szCs w:val="22"/>
        </w:rPr>
        <w:t xml:space="preserve">HAVE AGREED as follows:</w:t>
      </w:r>
    </w:p>
    <w:p>
      <w:pPr>
        <w:spacing w:after="200" w:before="0"/>
      </w:pPr>
    </w:p>
    <w:p>
      <w:pPr>
        <w:spacing w:after="60" w:before="220"/>
      </w:pPr>
      <w:r>
        <w:rPr>
          <w:rFonts w:ascii="Arial" w:cs="Arial" w:eastAsia="Arial" w:hAnsi="Arial"/>
          <w:b/>
          <w:bCs/>
          <w:color w:val="1B3A6B"/>
          <w:sz w:val="22"/>
          <w:szCs w:val="22"/>
        </w:rPr>
        <w:t xml:space="preserve">Article 1</w:t>
      </w:r>
      <w:r>
        <w:rPr>
          <w:rFonts w:ascii="Arial" w:cs="Arial" w:eastAsia="Arial" w:hAnsi="Arial"/>
          <w:color w:val="666666"/>
          <w:sz w:val="22"/>
          <w:szCs w:val="22"/>
        </w:rPr>
        <w:t xml:space="preserve">  —  Prohibition on Anti-Personnel Mines</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Each State Party undertakes never under any circumstances to use anti-personnel mines; develop, produce, otherwise acquire, stockpile, retain, or transfer anti-personnel mines; and to assist, encourage, or induce anyone to engage in any activity prohibited by this Convention.</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Anti-personnel mines means mines designed to be exploded by the presence, proximity, or contact of a person and that will incapacitate, injure, or kill one or more persons.</w:t>
      </w:r>
    </w:p>
    <w:p>
      <w:pPr>
        <w:spacing w:after="60" w:before="220"/>
      </w:pPr>
      <w:r>
        <w:rPr>
          <w:rFonts w:ascii="Arial" w:cs="Arial" w:eastAsia="Arial" w:hAnsi="Arial"/>
          <w:b/>
          <w:bCs/>
          <w:color w:val="1B3A6B"/>
          <w:sz w:val="22"/>
          <w:szCs w:val="22"/>
        </w:rPr>
        <w:t xml:space="preserve">Article 2</w:t>
      </w:r>
      <w:r>
        <w:rPr>
          <w:rFonts w:ascii="Arial" w:cs="Arial" w:eastAsia="Arial" w:hAnsi="Arial"/>
          <w:color w:val="666666"/>
          <w:sz w:val="22"/>
          <w:szCs w:val="22"/>
        </w:rPr>
        <w:t xml:space="preserve">  —  Prohibition on Cluster Munitions</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Each State Party undertakes never under any circumstances to use cluster munitions; develop, produce, otherwise acquire, stockpile, retain, or transfer cluster munitions; and to assist, encourage, or induce anyone to engage in any activity prohibited by this Convention.</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Cluster munitions means conventional munitions that are designed to disperse or release explosive submunitions, and includes those explosive submunitions.</w:t>
      </w:r>
    </w:p>
    <w:p>
      <w:pPr>
        <w:spacing w:after="60" w:before="220"/>
      </w:pPr>
      <w:r>
        <w:rPr>
          <w:rFonts w:ascii="Arial" w:cs="Arial" w:eastAsia="Arial" w:hAnsi="Arial"/>
          <w:b/>
          <w:bCs/>
          <w:color w:val="1B3A6B"/>
          <w:sz w:val="22"/>
          <w:szCs w:val="22"/>
        </w:rPr>
        <w:t xml:space="preserve">Article 3</w:t>
      </w:r>
      <w:r>
        <w:rPr>
          <w:rFonts w:ascii="Arial" w:cs="Arial" w:eastAsia="Arial" w:hAnsi="Arial"/>
          <w:color w:val="666666"/>
          <w:sz w:val="22"/>
          <w:szCs w:val="22"/>
        </w:rPr>
        <w:t xml:space="preserve">  —  Clearance and Destruction</w:t>
      </w:r>
    </w:p>
    <w:p>
      <w:pPr>
        <w:spacing w:after="60" w:before="60" w:line="276"/>
        <w:jc w:val="both"/>
      </w:pPr>
      <w:r>
        <w:rPr>
          <w:rFonts w:ascii="Garamond" w:cs="Garamond" w:eastAsia="Garamond" w:hAnsi="Garamond"/>
          <w:color w:val="333333"/>
          <w:sz w:val="22"/>
          <w:szCs w:val="22"/>
        </w:rPr>
        <w:t xml:space="preserve">Each State Party undertakes to destroy or ensure the destruction of all anti-personnel mines and cluster munitions stockpiled by it as soon as possible and in any event not later than eight years after the entry into force of this Convention for that State Party.</w:t>
      </w:r>
    </w:p>
    <w:p>
      <w:pPr>
        <w:spacing w:after="60" w:before="220"/>
      </w:pPr>
      <w:r>
        <w:rPr>
          <w:rFonts w:ascii="Arial" w:cs="Arial" w:eastAsia="Arial" w:hAnsi="Arial"/>
          <w:b/>
          <w:bCs/>
          <w:color w:val="1B3A6B"/>
          <w:sz w:val="22"/>
          <w:szCs w:val="22"/>
        </w:rPr>
        <w:t xml:space="preserve">Article 4</w:t>
      </w:r>
      <w:r>
        <w:rPr>
          <w:rFonts w:ascii="Arial" w:cs="Arial" w:eastAsia="Arial" w:hAnsi="Arial"/>
          <w:color w:val="666666"/>
          <w:sz w:val="22"/>
          <w:szCs w:val="22"/>
        </w:rPr>
        <w:t xml:space="preserve">  —  Victim Assistance</w:t>
      </w:r>
    </w:p>
    <w:p>
      <w:pPr>
        <w:spacing w:after="60" w:before="60" w:line="276"/>
        <w:jc w:val="both"/>
      </w:pPr>
      <w:r>
        <w:rPr>
          <w:rFonts w:ascii="Garamond" w:cs="Garamond" w:eastAsia="Garamond" w:hAnsi="Garamond"/>
          <w:color w:val="333333"/>
          <w:sz w:val="22"/>
          <w:szCs w:val="22"/>
        </w:rPr>
        <w:t xml:space="preserve">Each State Party shall adequately provide for the care and rehabilitation, including the economic and social reintegration, of mine and cluster munition victims.</w:t>
      </w:r>
    </w:p>
    <w:p>
      <w:pPr>
        <w:spacing w:after="60" w:before="40" w:line="260"/>
        <w:ind w:left="360"/>
        <w:jc w:val="both"/>
      </w:pPr>
      <w:r>
        <w:rPr>
          <w:rFonts w:ascii="Arial" w:cs="Arial" w:eastAsia="Arial" w:hAnsi="Arial"/>
          <w:i/>
          <w:iCs/>
          <w:color w:val="C5922A"/>
          <w:sz w:val="19"/>
          <w:szCs w:val="19"/>
        </w:rPr>
        <w:t xml:space="preserve">Cross-reference: MCWC; GLOW Opinion.</w:t>
      </w:r>
    </w:p>
    <w:p>
      <w:pPr>
        <w:spacing w:after="80" w:before="400"/>
        <w:jc w:val="center"/>
      </w:pPr>
      <w:r>
        <w:rPr>
          <w:rFonts w:ascii="Arial" w:cs="Arial" w:eastAsia="Arial" w:hAnsi="Arial"/>
          <w:b/>
          <w:bCs/>
          <w:caps/>
          <w:color w:val="1B3A6B"/>
          <w:sz w:val="26"/>
          <w:szCs w:val="26"/>
        </w:rPr>
        <w:t xml:space="preserve">FINAL PROVISIONS</w:t>
      </w:r>
    </w:p>
    <w:p>
      <w:pPr>
        <w:pBdr>
          <w:bottom w:val="single" w:color="1B3A6B" w:sz="6" w:space="1"/>
        </w:pBdr>
        <w:spacing w:after="160" w:before="40"/>
      </w:pPr>
    </w:p>
    <w:p>
      <w:pPr>
        <w:spacing w:after="60" w:before="220"/>
      </w:pPr>
      <w:r>
        <w:rPr>
          <w:rFonts w:ascii="Arial" w:cs="Arial" w:eastAsia="Arial" w:hAnsi="Arial"/>
          <w:b/>
          <w:bCs/>
          <w:color w:val="1B3A6B"/>
          <w:sz w:val="22"/>
          <w:szCs w:val="22"/>
        </w:rPr>
        <w:t xml:space="preserve">Article 5</w:t>
      </w:r>
      <w:r>
        <w:rPr>
          <w:rFonts w:ascii="Arial" w:cs="Arial" w:eastAsia="Arial" w:hAnsi="Arial"/>
          <w:color w:val="666666"/>
          <w:sz w:val="22"/>
          <w:szCs w:val="22"/>
        </w:rPr>
        <w:t xml:space="preserve">  —  Entry into Force</w:t>
      </w:r>
    </w:p>
    <w:p>
      <w:pPr>
        <w:spacing w:after="60" w:before="60" w:line="276"/>
        <w:jc w:val="both"/>
      </w:pPr>
      <w:r>
        <w:rPr>
          <w:rFonts w:ascii="Garamond" w:cs="Garamond" w:eastAsia="Garamond" w:hAnsi="Garamond"/>
          <w:color w:val="333333"/>
          <w:sz w:val="22"/>
          <w:szCs w:val="22"/>
        </w:rPr>
        <w:t xml:space="preserve">The present Standards shall enter into force six months after the deposit of the third instrument of ratification.</w:t>
      </w:r>
    </w:p>
    <w:p>
      <w:pPr>
        <w:spacing w:after="160" w:before="0"/>
      </w:pPr>
    </w:p>
    <w:p>
      <w:pPr>
        <w:spacing w:after="40" w:before="80"/>
      </w:pPr>
      <w:r>
        <w:rPr>
          <w:rFonts w:ascii="Arial" w:cs="Arial" w:eastAsia="Arial" w:hAnsi="Arial"/>
          <w:b/>
          <w:bCs/>
          <w:color w:val="1B3A6B"/>
          <w:sz w:val="22"/>
          <w:szCs w:val="22"/>
        </w:rPr>
        <w:t xml:space="preserve">For Belogal:</w:t>
      </w:r>
    </w:p>
    <w:p>
      <w:pPr>
        <w:pBdr>
          <w:bottom w:val="single" w:color="666666" w:sz="2" w:space="2"/>
        </w:pBdr>
        <w:spacing w:after="120" w:before="40"/>
      </w:pPr>
      <w:r>
        <w:rPr>
          <w:rFonts w:ascii="Garamond" w:cs="Garamond" w:eastAsia="Garamond" w:hAnsi="Garamond"/>
          <w:sz w:val="22"/>
          <w:szCs w:val="22"/>
        </w:rPr>
        <w:t xml:space="preserve"> </w:t>
      </w:r>
    </w:p>
    <w:p>
      <w:pPr>
        <w:spacing w:after="40" w:before="80"/>
      </w:pPr>
      <w:r>
        <w:rPr>
          <w:rFonts w:ascii="Arial" w:cs="Arial" w:eastAsia="Arial" w:hAnsi="Arial"/>
          <w:b/>
          <w:bCs/>
          <w:color w:val="1B3A6B"/>
          <w:sz w:val="22"/>
          <w:szCs w:val="22"/>
        </w:rPr>
        <w:t xml:space="preserve">For Ghanidash:</w:t>
      </w:r>
    </w:p>
    <w:p>
      <w:pPr>
        <w:pBdr>
          <w:bottom w:val="single" w:color="666666" w:sz="2" w:space="2"/>
        </w:pBdr>
        <w:spacing w:after="120" w:before="40"/>
      </w:pPr>
      <w:r>
        <w:rPr>
          <w:rFonts w:ascii="Garamond" w:cs="Garamond" w:eastAsia="Garamond" w:hAnsi="Garamond"/>
          <w:sz w:val="22"/>
          <w:szCs w:val="22"/>
        </w:rPr>
        <w:t xml:space="preserve"> </w:t>
      </w:r>
    </w:p>
    <w:p>
      <w:pPr>
        <w:spacing w:after="40" w:before="80"/>
      </w:pPr>
      <w:r>
        <w:rPr>
          <w:rFonts w:ascii="Arial" w:cs="Arial" w:eastAsia="Arial" w:hAnsi="Arial"/>
          <w:b/>
          <w:bCs/>
          <w:color w:val="1B3A6B"/>
          <w:sz w:val="22"/>
          <w:szCs w:val="22"/>
        </w:rPr>
        <w:t xml:space="preserve">For Hin-Klia:</w:t>
      </w:r>
    </w:p>
    <w:p>
      <w:pPr>
        <w:pBdr>
          <w:bottom w:val="single" w:color="666666" w:sz="2" w:space="2"/>
        </w:pBdr>
        <w:spacing w:after="120" w:before="40"/>
      </w:pPr>
      <w:r>
        <w:rPr>
          <w:rFonts w:ascii="Garamond" w:cs="Garamond" w:eastAsia="Garamond" w:hAnsi="Garamond"/>
          <w:sz w:val="22"/>
          <w:szCs w:val="22"/>
        </w:rPr>
        <w:t xml:space="preserve"> </w:t>
      </w:r>
    </w:p>
    <w:p>
      <w:pPr>
        <w:spacing w:after="40" w:before="80"/>
      </w:pPr>
      <w:r>
        <w:rPr>
          <w:rFonts w:ascii="Arial" w:cs="Arial" w:eastAsia="Arial" w:hAnsi="Arial"/>
          <w:b/>
          <w:bCs/>
          <w:color w:val="1B3A6B"/>
          <w:sz w:val="22"/>
          <w:szCs w:val="22"/>
        </w:rPr>
        <w:t xml:space="preserve">For Mikhailistan:</w:t>
      </w:r>
    </w:p>
    <w:p>
      <w:pPr>
        <w:pBdr>
          <w:bottom w:val="single" w:color="666666" w:sz="2" w:space="2"/>
        </w:pBdr>
        <w:spacing w:after="120" w:before="40"/>
      </w:pPr>
      <w:r>
        <w:rPr>
          <w:rFonts w:ascii="Garamond" w:cs="Garamond" w:eastAsia="Garamond" w:hAnsi="Garamond"/>
          <w:sz w:val="22"/>
          <w:szCs w:val="22"/>
        </w:rPr>
        <w:t xml:space="preserve"> </w:t>
      </w:r>
    </w:p>
    <w:p>
      <w:pPr>
        <w:spacing w:after="40" w:before="80"/>
      </w:pPr>
      <w:r>
        <w:rPr>
          <w:rFonts w:ascii="Arial" w:cs="Arial" w:eastAsia="Arial" w:hAnsi="Arial"/>
          <w:b/>
          <w:bCs/>
          <w:color w:val="1B3A6B"/>
          <w:sz w:val="22"/>
          <w:szCs w:val="22"/>
        </w:rPr>
        <w:t xml:space="preserve">For Pramatra:</w:t>
      </w:r>
    </w:p>
    <w:p>
      <w:pPr>
        <w:pBdr>
          <w:bottom w:val="single" w:color="666666" w:sz="2" w:space="2"/>
        </w:pBdr>
        <w:spacing w:after="120" w:before="40"/>
      </w:pPr>
      <w:r>
        <w:rPr>
          <w:rFonts w:ascii="Garamond" w:cs="Garamond" w:eastAsia="Garamond" w:hAnsi="Garamond"/>
          <w:sz w:val="22"/>
          <w:szCs w:val="22"/>
        </w:rPr>
        <w:t xml:space="preserve"> </w:t>
      </w:r>
    </w:p>
    <w:sectPr>
      <w:headerReference w:type="default" r:id="rId7"/>
      <w:footerReference w:type="default" r:id="rId8"/>
      <w:pgSz w:w="12240" w:h="15840" w:orient="portrait"/>
      <w:pgMar w:top="1440" w:right="1260" w:bottom="144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922A" w:sz="4" w:space="4"/>
      </w:pBdr>
      <w:tabs>
        <w:tab w:val="right" w:pos="9360"/>
      </w:tabs>
      <w:spacing w:before="80"/>
    </w:pPr>
    <w:r>
      <w:rPr>
        <w:rFonts w:ascii="Arial" w:cs="Arial" w:eastAsia="Arial" w:hAnsi="Arial"/>
        <w:color w:val="666666"/>
        <w:sz w:val="16"/>
        <w:szCs w:val="16"/>
      </w:rPr>
      <w:t xml:space="preserve">United Mirians  |  SCAR  |  Landmines and Cluster Munitions</w:t>
    </w:r>
    <w:r>
      <w:t xml:space="preserve">	</w:t>
    </w:r>
    <w:fldSimple w:instr="[object Objec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5922A" w:sz="4" w:space="4"/>
      </w:pBdr>
      <w:tabs>
        <w:tab w:val="right" w:pos="9360"/>
      </w:tabs>
      <w:spacing w:after="80"/>
    </w:pPr>
    <w:r>
      <w:rPr>
        <w:rFonts w:ascii="Arial" w:cs="Arial" w:eastAsia="Arial" w:hAnsi="Arial"/>
        <w:b/>
        <w:bCs/>
        <w:color w:val="1B3A6B"/>
        <w:sz w:val="16"/>
        <w:szCs w:val="16"/>
      </w:rPr>
      <w:t xml:space="preserve">STANDARDS ON CLUSTER MUNITIONS, ANTI-PERSONNEL MINES, AND RELATED WEAPONS (SCAR)</w:t>
    </w:r>
    <w:r>
      <w:t xml:space="preserve">	</w:t>
    </w:r>
    <w:r>
      <w:rPr>
        <w:rFonts w:ascii="Arial" w:cs="Arial" w:eastAsia="Arial" w:hAnsi="Arial"/>
        <w:color w:val="666666"/>
        <w:sz w:val="16"/>
        <w:szCs w:val="16"/>
      </w:rPr>
      <w:t xml:space="preserve">UM DOC/SCAR/001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aramond" w:cs="Garamond" w:eastAsia="Garamond" w:hAnsi="Garamond"/>
        <w:color w:val="333333"/>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2026-05-24T06:21:40.776Z</dcterms:created>
  <dcterms:modified xsi:type="dcterms:W3CDTF">2026-05-24T06:21:40.776Z</dcterms:modified>
</cp:coreProperties>
</file>

<file path=docProps/custom.xml><?xml version="1.0" encoding="utf-8"?>
<Properties xmlns="http://schemas.openxmlformats.org/officeDocument/2006/custom-properties" xmlns:vt="http://schemas.openxmlformats.org/officeDocument/2006/docPropsVTypes"/>
</file>