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MIR AGREEMENT ON THE NEW</w:t>
      </w:r>
    </w:p>
    <w:p>
      <w:pPr>
        <w:jc w:val="center"/>
      </w:pPr>
      <w:r>
        <w:rPr>
          <w:rFonts w:ascii="Arial" w:cs="Arial" w:eastAsia="Arial" w:hAnsi="Arial"/>
          <w:b/>
          <w:bCs/>
          <w:caps/>
          <w:color w:val="1B3A6B"/>
          <w:sz w:val="36"/>
          <w:szCs w:val="36"/>
        </w:rPr>
        <w:t xml:space="preserve">TRANSFER OF LEGAL ENTITLEMENTS</w:t>
      </w:r>
    </w:p>
    <w:p>
      <w:pPr>
        <w:spacing w:after="60" w:before="0"/>
      </w:pPr>
    </w:p>
    <w:p>
      <w:pPr>
        <w:jc w:val="center"/>
      </w:pPr>
      <w:r>
        <w:rPr>
          <w:rFonts w:ascii="Arial" w:cs="Arial" w:eastAsia="Arial" w:hAnsi="Arial"/>
          <w:b/>
          <w:bCs/>
          <w:color w:val="C5922A"/>
          <w:sz w:val="28"/>
          <w:szCs w:val="28"/>
        </w:rPr>
        <w:t xml:space="preserve">( MANTLE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under the auspices of the United Mirians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changes of government, constitutional transitions, and political transformations within states raise questions about the continuity of international legal obligations,</w:t>
      </w:r>
    </w:p>
    <w:p>
      <w:pPr>
        <w:spacing w:after="80" w:before="80" w:line="300"/>
        <w:ind w:left="360"/>
        <w:jc w:val="both"/>
      </w:pPr>
      <w:r>
        <w:rPr>
          <w:rFonts w:ascii="Garamond" w:cs="Garamond" w:eastAsia="Garamond" w:hAnsi="Garamond"/>
          <w:i/>
          <w:iCs/>
          <w:color w:val="333333"/>
          <w:sz w:val="22"/>
          <w:szCs w:val="22"/>
        </w:rPr>
        <w:t xml:space="preserve">AFFIRMING the general principle that treaty obligations are obligations of the state rather than of any particular government, and that changes of government do not affect the treaty obligations of the state,</w:t>
      </w:r>
    </w:p>
    <w:p>
      <w:pPr>
        <w:spacing w:after="80" w:before="80" w:line="300"/>
        <w:ind w:left="360"/>
        <w:jc w:val="both"/>
      </w:pPr>
      <w:r>
        <w:rPr>
          <w:rFonts w:ascii="Garamond" w:cs="Garamond" w:eastAsia="Garamond" w:hAnsi="Garamond"/>
          <w:i/>
          <w:iCs/>
          <w:color w:val="333333"/>
          <w:sz w:val="22"/>
          <w:szCs w:val="22"/>
        </w:rPr>
        <w:t xml:space="preserve">CONFIRMING that state responsibility for internationally wrongful acts committed by previous governments remains with the state regardless of changes in government,</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CONTINUITY OF TREATY OBLIGATIONS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General Principle of Continuity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change of government within a state does not affect the treaty obligations of that state. Treaties concluded by a previous government remain binding on the state and on any successor government.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new government may not invoke the unconstitutional or illegitimate character of a previous government as grounds for refusing to perform treaty obligations concluded by that government.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 new government that wishes to withdraw from or renegotiate treaty obligations shall do so through the mechanisms provided in the relevant treaty and in accordance with general international law.</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State Responsibility and Changes of Government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 responsibility for internationally wrongful acts committed under a previous government continues with the state. A new government does not inherit immunity from responsibility for the wrongful acts of its predecessors.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new government may, however, take steps to distance itself politically and legally from the wrongful acts of its predecessors, including by cooperating with international institutions, acknowledging wrongdoing, and providing reparations to victims.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Such steps do not extinguish state responsibility but may be taken into account by international tribunals in assessing the obligations of reparation.</w:t>
      </w:r>
    </w:p>
    <w:p>
      <w:pPr>
        <w:spacing w:after="80" w:before="400"/>
        <w:jc w:val="center"/>
      </w:pPr>
      <w:r>
        <w:rPr>
          <w:rFonts w:ascii="Arial" w:cs="Arial" w:eastAsia="Arial" w:hAnsi="Arial"/>
          <w:b/>
          <w:bCs/>
          <w:caps/>
          <w:color w:val="1B3A6B"/>
          <w:sz w:val="26"/>
          <w:szCs w:val="26"/>
        </w:rPr>
        <w:t xml:space="preserve">PART 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Agreement shall enter into force upon ratification by all five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MANTLE  |  State Succession</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MIR AGREEMENT ON THE NEW TRANSFER OF LEGAL ENTITLEMENTS (MANTLE)</w:t>
    </w:r>
    <w:r>
      <w:t xml:space="preserve">	</w:t>
    </w:r>
    <w:r>
      <w:rPr>
        <w:rFonts w:ascii="Arial" w:cs="Arial" w:eastAsia="Arial" w:hAnsi="Arial"/>
        <w:color w:val="666666"/>
        <w:sz w:val="16"/>
        <w:szCs w:val="16"/>
      </w:rPr>
      <w:t xml:space="preserve">UM DOC/MANTLE/001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2026-05-24T06:21:40.745Z</dcterms:created>
  <dcterms:modified xsi:type="dcterms:W3CDTF">2026-05-24T06:21:40.745Z</dcterms:modified>
</cp:coreProperties>
</file>

<file path=docProps/custom.xml><?xml version="1.0" encoding="utf-8"?>
<Properties xmlns="http://schemas.openxmlformats.org/officeDocument/2006/custom-properties" xmlns:vt="http://schemas.openxmlformats.org/officeDocument/2006/docPropsVTypes"/>
</file>