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pPr>
    </w:p>
    <w:p>
      <w:pPr>
        <w:jc w:val="center"/>
      </w:pPr>
      <w:r>
        <w:rPr>
          <w:rFonts w:ascii="Arial" w:cs="Arial" w:eastAsia="Arial" w:hAnsi="Arial"/>
          <w:b/>
          <w:bCs/>
          <w:color w:val="4A4A4A"/>
          <w:sz w:val="72"/>
          <w:szCs w:val="72"/>
        </w:rPr>
        <w:t xml:space="preserve">⬟</w:t>
      </w:r>
    </w:p>
    <w:p>
      <w:pPr>
        <w:spacing w:after="120" w:before="0"/>
      </w:pPr>
    </w:p>
    <w:p>
      <w:pPr>
        <w:jc w:val="center"/>
      </w:pPr>
      <w:r>
        <w:rPr>
          <w:rFonts w:ascii="Arial" w:cs="Arial" w:eastAsia="Arial" w:hAnsi="Arial"/>
          <w:b/>
          <w:bCs/>
          <w:caps/>
          <w:color w:val="1B3A6B"/>
          <w:sz w:val="38"/>
          <w:szCs w:val="38"/>
        </w:rPr>
        <w:t xml:space="preserve">MIR CODIFICATION OF</w:t>
      </w:r>
    </w:p>
    <w:p>
      <w:pPr>
        <w:jc w:val="center"/>
      </w:pPr>
      <w:r>
        <w:rPr>
          <w:rFonts w:ascii="Arial" w:cs="Arial" w:eastAsia="Arial" w:hAnsi="Arial"/>
          <w:b/>
          <w:bCs/>
          <w:caps/>
          <w:color w:val="1B3A6B"/>
          <w:sz w:val="38"/>
          <w:szCs w:val="38"/>
        </w:rPr>
        <w:t xml:space="preserve">OBLIGATIONS AND RULES OF ENGAGEMENT</w:t>
      </w:r>
    </w:p>
    <w:p>
      <w:pPr>
        <w:spacing w:after="60" w:before="0"/>
      </w:pPr>
    </w:p>
    <w:p>
      <w:pPr>
        <w:jc w:val="center"/>
      </w:pPr>
      <w:r>
        <w:rPr>
          <w:rFonts w:ascii="Arial" w:cs="Arial" w:eastAsia="Arial" w:hAnsi="Arial"/>
          <w:b/>
          <w:bCs/>
          <w:color w:val="C5922A"/>
          <w:sz w:val="30"/>
          <w:szCs w:val="30"/>
        </w:rPr>
        <w:t xml:space="preserve">( CORE )</w:t>
      </w:r>
    </w:p>
    <w:p>
      <w:pPr>
        <w:spacing w:after="80" w:before="0"/>
      </w:pPr>
    </w:p>
    <w:p>
      <w:pPr>
        <w:pBdr>
          <w:bottom w:val="single" w:color="C5922A" w:sz="6" w:space="1"/>
        </w:pBdr>
        <w:spacing w:after="0" w:before="0"/>
      </w:pPr>
    </w:p>
    <w:p>
      <w:pPr>
        <w:spacing w:after="80" w:before="0"/>
      </w:pPr>
    </w:p>
    <w:p>
      <w:pPr>
        <w:jc w:val="center"/>
      </w:pPr>
      <w:r>
        <w:rPr>
          <w:rFonts w:ascii="Garamond" w:cs="Garamond" w:eastAsia="Garamond" w:hAnsi="Garamond"/>
          <w:i/>
          <w:iCs/>
          <w:color w:val="666666"/>
          <w:sz w:val="22"/>
          <w:szCs w:val="22"/>
        </w:rPr>
        <w:t xml:space="preserve">Adopted by the International Law Commission of Mir</w:t>
      </w:r>
    </w:p>
    <w:p>
      <w:pPr>
        <w:jc w:val="center"/>
      </w:pPr>
      <w:r>
        <w:rPr>
          <w:rFonts w:ascii="Garamond" w:cs="Garamond" w:eastAsia="Garamond" w:hAnsi="Garamond"/>
          <w:i/>
          <w:iCs/>
          <w:color w:val="666666"/>
          <w:sz w:val="22"/>
          <w:szCs w:val="22"/>
        </w:rPr>
        <w:t xml:space="preserve">Endorsed by the United Mirians General Assembly</w:t>
      </w:r>
    </w:p>
    <w:p>
      <w:pPr>
        <w:jc w:val="center"/>
      </w:pPr>
      <w:r>
        <w:rPr>
          <w:rFonts w:ascii="Garamond" w:cs="Garamond" w:eastAsia="Garamond" w:hAnsi="Garamond"/>
          <w:i/>
          <w:iCs/>
          <w:color w:val="666666"/>
          <w:sz w:val="22"/>
          <w:szCs w:val="22"/>
        </w:rPr>
        <w:t xml:space="preserve">Deposited with the Secretariat of the United Mirians</w:t>
      </w:r>
    </w:p>
    <w:p>
      <w:pPr>
        <w:spacing w:after="80" w:before="0"/>
      </w:pPr>
    </w:p>
    <w:p>
      <w:pPr>
        <w:pBdr>
          <w:bottom w:val="single" w:color="C5922A" w:sz="6" w:space="1"/>
        </w:pBdr>
        <w:spacing w:after="0" w:before="0"/>
      </w:pPr>
    </w:p>
    <w:p>
      <w:pPr>
        <w:spacing w:after="120" w:before="0"/>
      </w:pPr>
    </w:p>
    <w:p>
      <w:pPr>
        <w:jc w:val="center"/>
      </w:pPr>
      <w:r>
        <w:rPr>
          <w:rFonts w:ascii="Arial" w:cs="Arial" w:eastAsia="Arial" w:hAnsi="Arial"/>
          <w:i/>
          <w:iCs/>
          <w:color w:val="1B3A6B"/>
          <w:sz w:val="20"/>
          <w:szCs w:val="20"/>
        </w:rPr>
        <w:t xml:space="preserve">A Restatement of Customary International Law and General Principles</w:t>
      </w:r>
    </w:p>
    <w:p>
      <w:pPr>
        <w:jc w:val="center"/>
      </w:pPr>
      <w:r>
        <w:rPr>
          <w:rFonts w:ascii="Arial" w:cs="Arial" w:eastAsia="Arial" w:hAnsi="Arial"/>
          <w:i/>
          <w:iCs/>
          <w:color w:val="1B3A6B"/>
          <w:sz w:val="20"/>
          <w:szCs w:val="20"/>
        </w:rPr>
        <w:t xml:space="preserve">Applicable in Mir</w:t>
      </w:r>
    </w:p>
    <w:p>
      <w:pPr>
        <w:spacing w:after="400" w:before="0"/>
      </w:pPr>
    </w:p>
    <w:p>
      <w:pPr>
        <w:spacing w:after="80" w:before="400"/>
        <w:jc w:val="center"/>
      </w:pPr>
      <w:r>
        <w:rPr>
          <w:rFonts w:ascii="Arial" w:cs="Arial" w:eastAsia="Arial" w:hAnsi="Arial"/>
          <w:b/>
          <w:bCs/>
          <w:caps/>
          <w:color w:val="1B3A6B"/>
          <w:sz w:val="26"/>
          <w:szCs w:val="26"/>
        </w:rPr>
        <w:t xml:space="preserve">PREFATORY NOTE</w:t>
      </w:r>
    </w:p>
    <w:p>
      <w:pPr>
        <w:pBdr>
          <w:bottom w:val="single" w:color="1B3A6B" w:sz="6" w:space="1"/>
        </w:pBdr>
        <w:spacing w:after="120" w:before="40"/>
      </w:pPr>
    </w:p>
    <w:p>
      <w:pPr>
        <w:pBdr>
          <w:left w:val="single" w:color="666666" w:sz="6" w:space="8"/>
        </w:pBdr>
        <w:spacing w:after="60" w:before="60" w:line="260"/>
        <w:ind w:left="360"/>
        <w:jc w:val="both"/>
      </w:pPr>
      <w:r>
        <w:rPr>
          <w:rFonts w:ascii="Garamond" w:cs="Garamond" w:eastAsia="Garamond" w:hAnsi="Garamond"/>
          <w:i/>
          <w:iCs/>
          <w:color w:val="4A4A4A"/>
          <w:sz w:val="20"/>
          <w:szCs w:val="20"/>
        </w:rPr>
        <w:t xml:space="preserve">The Mir Codification of Obligations and Rules of Engagement (CORE) is a restatement of customary international law and general principles of law as recognized and applied in Mir. It was prepared by the International Law Commission of Mir (ILCM) following a mandate from the United Mirians General Assembly and was endorsed by the UMGA without amendment. The CORE is not a treaty and does not create new obligations. It reflects existing customary law and general principles that bind all states of Mir regardless of their treaty commitments. Courts, tribunals, and state actors are directed to consult the CORE as an authoritative secondary source of international law in cases where treaty provisions are absent, unclear, or in conflict. The CORE shall be updated by the ILCM as customary law develops.</w:t>
      </w:r>
    </w:p>
    <w:p>
      <w:pPr>
        <w:spacing w:after="200" w:before="0"/>
      </w:pPr>
    </w:p>
    <w:p>
      <w:pPr>
        <w:spacing w:after="80" w:before="400"/>
        <w:jc w:val="center"/>
      </w:pPr>
      <w:r>
        <w:rPr>
          <w:rFonts w:ascii="Arial" w:cs="Arial" w:eastAsia="Arial" w:hAnsi="Arial"/>
          <w:b/>
          <w:bCs/>
          <w:caps/>
          <w:color w:val="1B3A6B"/>
          <w:sz w:val="26"/>
          <w:szCs w:val="26"/>
        </w:rPr>
        <w:t xml:space="preserve">PREAMBLE</w:t>
      </w:r>
    </w:p>
    <w:p>
      <w:pPr>
        <w:pBdr>
          <w:bottom w:val="single" w:color="1B3A6B" w:sz="6" w:space="1"/>
        </w:pBdr>
        <w:spacing w:after="160" w:before="40"/>
      </w:pPr>
    </w:p>
    <w:p>
      <w:pPr>
        <w:spacing w:after="80" w:before="80" w:line="300"/>
        <w:ind w:left="360"/>
        <w:jc w:val="both"/>
      </w:pPr>
      <w:r>
        <w:rPr>
          <w:rFonts w:ascii="Garamond" w:cs="Garamond" w:eastAsia="Garamond" w:hAnsi="Garamond"/>
          <w:i/>
          <w:iCs/>
          <w:color w:val="333333"/>
          <w:sz w:val="22"/>
          <w:szCs w:val="22"/>
        </w:rPr>
        <w:t xml:space="preserve">THE INTERNATIONAL LAW COMMISSION OF MIR,</w:t>
      </w:r>
    </w:p>
    <w:p>
      <w:pPr>
        <w:spacing w:after="40" w:before="0"/>
      </w:pPr>
    </w:p>
    <w:p>
      <w:pPr>
        <w:spacing w:after="80" w:before="80" w:line="300"/>
        <w:ind w:left="360"/>
        <w:jc w:val="both"/>
      </w:pPr>
      <w:r>
        <w:rPr>
          <w:rFonts w:ascii="Garamond" w:cs="Garamond" w:eastAsia="Garamond" w:hAnsi="Garamond"/>
          <w:i/>
          <w:iCs/>
          <w:color w:val="333333"/>
          <w:sz w:val="22"/>
          <w:szCs w:val="22"/>
        </w:rPr>
        <w:t xml:space="preserve">ACTING pursuant to a mandate from the United Mirians General Assembly to codify and progressively develop international law as applicable in Mir,</w:t>
      </w:r>
    </w:p>
    <w:p>
      <w:pPr>
        <w:spacing w:after="80" w:before="80" w:line="300"/>
        <w:ind w:left="360"/>
        <w:jc w:val="both"/>
      </w:pPr>
      <w:r>
        <w:rPr>
          <w:rFonts w:ascii="Garamond" w:cs="Garamond" w:eastAsia="Garamond" w:hAnsi="Garamond"/>
          <w:i/>
          <w:iCs/>
          <w:color w:val="333333"/>
          <w:sz w:val="22"/>
          <w:szCs w:val="22"/>
        </w:rPr>
        <w:t xml:space="preserve">RECOGNIZING that customary international law and general principles of law constitute binding sources of obligation for all states regardless of their treaty commitments,</w:t>
      </w:r>
    </w:p>
    <w:p>
      <w:pPr>
        <w:spacing w:after="80" w:before="80" w:line="300"/>
        <w:ind w:left="360"/>
        <w:jc w:val="both"/>
      </w:pPr>
      <w:r>
        <w:rPr>
          <w:rFonts w:ascii="Garamond" w:cs="Garamond" w:eastAsia="Garamond" w:hAnsi="Garamond"/>
          <w:i/>
          <w:iCs/>
          <w:color w:val="333333"/>
          <w:sz w:val="22"/>
          <w:szCs w:val="22"/>
        </w:rPr>
        <w:t xml:space="preserve">AFFIRMING that the identification of customary international law requires evidence of general practice accepted as law, and that the determination of what constitutes custom is a matter of legal analysis rather than political preference,</w:t>
      </w:r>
    </w:p>
    <w:p>
      <w:pPr>
        <w:spacing w:after="80" w:before="80" w:line="300"/>
        <w:ind w:left="360"/>
        <w:jc w:val="both"/>
      </w:pPr>
      <w:r>
        <w:rPr>
          <w:rFonts w:ascii="Garamond" w:cs="Garamond" w:eastAsia="Garamond" w:hAnsi="Garamond"/>
          <w:i/>
          <w:iCs/>
          <w:color w:val="333333"/>
          <w:sz w:val="22"/>
          <w:szCs w:val="22"/>
        </w:rPr>
        <w:t xml:space="preserve">ACKNOWLEDGING that certain norms of international law have the character of jus cogens — peremptory norms from which no derogation is permitted — and that these norms constitute the irreducible core of the international legal order,</w:t>
      </w:r>
    </w:p>
    <w:p>
      <w:pPr>
        <w:spacing w:after="80" w:before="80" w:line="300"/>
        <w:ind w:left="360"/>
        <w:jc w:val="both"/>
      </w:pPr>
      <w:r>
        <w:rPr>
          <w:rFonts w:ascii="Garamond" w:cs="Garamond" w:eastAsia="Garamond" w:hAnsi="Garamond"/>
          <w:i/>
          <w:iCs/>
          <w:color w:val="333333"/>
          <w:sz w:val="22"/>
          <w:szCs w:val="22"/>
        </w:rPr>
        <w:t xml:space="preserve">NOTING that in cases not covered by specific treaty provisions, states and international tribunals must have recourse to customary law, general principles, and the dictates of humanity as gap-filling sources of obligation,</w:t>
      </w:r>
    </w:p>
    <w:p>
      <w:pPr>
        <w:spacing w:after="80" w:before="80" w:line="300"/>
        <w:ind w:left="360"/>
        <w:jc w:val="both"/>
      </w:pPr>
      <w:r>
        <w:rPr>
          <w:rFonts w:ascii="Garamond" w:cs="Garamond" w:eastAsia="Garamond" w:hAnsi="Garamond"/>
          <w:i/>
          <w:iCs/>
          <w:color w:val="333333"/>
          <w:sz w:val="22"/>
          <w:szCs w:val="22"/>
        </w:rPr>
        <w:t xml:space="preserve">PRESENTS the following codification for the guidance of states, courts, and other actors in the international legal system of Mir.</w:t>
      </w:r>
    </w:p>
    <w:p>
      <w:pPr>
        <w:spacing w:after="200" w:before="0"/>
      </w:pPr>
    </w:p>
    <w:p>
      <w:pPr>
        <w:spacing w:after="80" w:before="400"/>
        <w:jc w:val="center"/>
      </w:pPr>
      <w:r>
        <w:rPr>
          <w:rFonts w:ascii="Arial" w:cs="Arial" w:eastAsia="Arial" w:hAnsi="Arial"/>
          <w:b/>
          <w:bCs/>
          <w:caps/>
          <w:color w:val="1B3A6B"/>
          <w:sz w:val="26"/>
          <w:szCs w:val="26"/>
        </w:rPr>
        <w:t xml:space="preserve">PART I — SOURCES OF INTERNATIONAL LAW IN MIR</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w:t>
      </w:r>
      <w:r>
        <w:rPr>
          <w:rFonts w:ascii="Arial" w:cs="Arial" w:eastAsia="Arial" w:hAnsi="Arial"/>
          <w:color w:val="666666"/>
          <w:sz w:val="22"/>
          <w:szCs w:val="22"/>
        </w:rPr>
        <w:t xml:space="preserve">  —  Primary Sources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International law applicable in Mir derives from the following primary sources, which shall be applied in the following order where relevant:</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International conventions and treaties, whether general or particular, establishing rules expressly recognized by the contesting states;</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International custom, as evidence of a general practice accepted as law;</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General principles of law recognized by the principal legal systems of Mir.</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order set out in paragraph 1 does not establish a strict hierarchy among sources in all cases. Customary law may override treaty law where the treaty provision is incompatible with a peremptory norm of general international law (jus cogens). General principles may supply content to treaty and customary obligations where those sources are silent or unclear.</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No source of international law may authorize or require conduct that violates a peremptory norm (jus cogens) as identified in Part III of the present Codification.</w:t>
      </w:r>
    </w:p>
    <w:p>
      <w:pPr>
        <w:spacing w:after="60" w:before="220"/>
      </w:pPr>
      <w:r>
        <w:rPr>
          <w:rFonts w:ascii="Arial" w:cs="Arial" w:eastAsia="Arial" w:hAnsi="Arial"/>
          <w:b/>
          <w:bCs/>
          <w:color w:val="1B3A6B"/>
          <w:sz w:val="22"/>
          <w:szCs w:val="22"/>
        </w:rPr>
        <w:t xml:space="preserve">Article 2</w:t>
      </w:r>
      <w:r>
        <w:rPr>
          <w:rFonts w:ascii="Arial" w:cs="Arial" w:eastAsia="Arial" w:hAnsi="Arial"/>
          <w:color w:val="666666"/>
          <w:sz w:val="22"/>
          <w:szCs w:val="22"/>
        </w:rPr>
        <w:t xml:space="preserve">  —  Secondary Sources and Subsidiary Means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following are subsidiary means for the determination of rules of international law and may be consulted by courts and tribunals in identifying the content of primary sources:</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Judicial decisions of international and national courts and tribunals, which may serve as evidence of customary law and general principles but do not in themselves create binding obligations beyond the parties to the dispute;</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The teachings of the most highly qualified publicists of international law, which may illuminate the content and development of legal rules but do not constitute binding authority;</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Resolutions and declarations of the United Mirians General Assembly, which, while not binding as such, may provide evidence of the existence and content of customary international law where they reflect and crystallize state practice and opinio juris;</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The present Codification, which serves as an authoritative statement of existing customary law and general principles for the purposes of all proceedings before the High Court of Mir and all other tribunals operating within the international legal system of Mir.</w:t>
      </w:r>
    </w:p>
    <w:p>
      <w:pPr>
        <w:spacing w:after="60" w:before="220"/>
      </w:pPr>
      <w:r>
        <w:rPr>
          <w:rFonts w:ascii="Arial" w:cs="Arial" w:eastAsia="Arial" w:hAnsi="Arial"/>
          <w:b/>
          <w:bCs/>
          <w:color w:val="1B3A6B"/>
          <w:sz w:val="22"/>
          <w:szCs w:val="22"/>
        </w:rPr>
        <w:t xml:space="preserve">Article 3</w:t>
      </w:r>
      <w:r>
        <w:rPr>
          <w:rFonts w:ascii="Arial" w:cs="Arial" w:eastAsia="Arial" w:hAnsi="Arial"/>
          <w:color w:val="666666"/>
          <w:sz w:val="22"/>
          <w:szCs w:val="22"/>
        </w:rPr>
        <w:t xml:space="preserve">  —  Customary International Law</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rule of customary international law exists where there is evidence of:</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A general and consistent practice among states; and</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Opinio juris — the conviction among states that the practice is legally required or permitted, rather than merely a matter of courtesy, habit, or political preference.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practice of states includes acts, omissions, domestic legislation, court decisions, official statements, and other conduct attributable to states in their international relations. Practice need not be universal to give rise to a customary rule, but must be sufficiently general and consistent to evidence a binding norm.</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A persistent objector — a state that has consistently and clearly objected to a rule of customary international law from the time of its formation — is not bound by that rule. The persistent objector doctrine applies only to rules in formation and cannot be invoked against peremptory norms.</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The International Law Commission of Mir shall maintain a register of recognized rules of customary international law and shall update the present Codification to reflect the development of new customary rules.</w:t>
      </w:r>
    </w:p>
    <w:p>
      <w:pPr>
        <w:spacing w:after="60" w:before="220"/>
      </w:pPr>
      <w:r>
        <w:rPr>
          <w:rFonts w:ascii="Arial" w:cs="Arial" w:eastAsia="Arial" w:hAnsi="Arial"/>
          <w:b/>
          <w:bCs/>
          <w:color w:val="1B3A6B"/>
          <w:sz w:val="22"/>
          <w:szCs w:val="22"/>
        </w:rPr>
        <w:t xml:space="preserve">Article 4</w:t>
      </w:r>
      <w:r>
        <w:rPr>
          <w:rFonts w:ascii="Arial" w:cs="Arial" w:eastAsia="Arial" w:hAnsi="Arial"/>
          <w:color w:val="666666"/>
          <w:sz w:val="22"/>
          <w:szCs w:val="22"/>
        </w:rPr>
        <w:t xml:space="preserve">  —  General Principles of Law</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General principles of law are principles recognized across the principal legal systems of Mir that are transposable to the international legal context. They provide substantive content and fill gaps in treaty and customary law.</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Recognized general principles include: good faith in the performance of obligations; the prohibition on the abuse of rights; the principle that no one may benefit from their own wrongdoing; the obligation to make reparation for internationally wrongful acts; and the principle of proportionality.</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General principles may also arise specifically within the international legal system itself, including: the principle of sovereign equality of states; the principle of non-intervention; the principle of self-determination; and the principle of humanity in the conduct of armed conflict.</w:t>
      </w:r>
    </w:p>
    <w:p>
      <w:pPr>
        <w:spacing w:after="200" w:before="0"/>
      </w:pPr>
    </w:p>
    <w:p>
      <w:pPr>
        <w:spacing w:after="80" w:before="400"/>
        <w:jc w:val="center"/>
      </w:pPr>
      <w:r>
        <w:rPr>
          <w:rFonts w:ascii="Arial" w:cs="Arial" w:eastAsia="Arial" w:hAnsi="Arial"/>
          <w:b/>
          <w:bCs/>
          <w:caps/>
          <w:color w:val="1B3A6B"/>
          <w:sz w:val="26"/>
          <w:szCs w:val="26"/>
        </w:rPr>
        <w:t xml:space="preserve">PART II — STATE RESPONSIBILITY</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5</w:t>
      </w:r>
      <w:r>
        <w:rPr>
          <w:rFonts w:ascii="Arial" w:cs="Arial" w:eastAsia="Arial" w:hAnsi="Arial"/>
          <w:color w:val="666666"/>
          <w:sz w:val="22"/>
          <w:szCs w:val="22"/>
        </w:rPr>
        <w:t xml:space="preserve">  —  General Principle of State Responsibility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Every internationally wrongful act of a state entails the international responsibility of that state.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An act of a state is internationally wrongful when it constitutes a breach of an international obligation of that state, regardless of whether the obligation derives from treaty, custom, or general principles.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characterization of an act as internationally wrongful is governed by international law. Such characterization is not affected by the characterization of the same act as lawful by the internal law of the responsible state.</w:t>
      </w:r>
    </w:p>
    <w:p>
      <w:pPr>
        <w:spacing w:after="60" w:before="220"/>
      </w:pPr>
      <w:r>
        <w:rPr>
          <w:rFonts w:ascii="Arial" w:cs="Arial" w:eastAsia="Arial" w:hAnsi="Arial"/>
          <w:b/>
          <w:bCs/>
          <w:color w:val="1B3A6B"/>
          <w:sz w:val="22"/>
          <w:szCs w:val="22"/>
        </w:rPr>
        <w:t xml:space="preserve">Article 6</w:t>
      </w:r>
      <w:r>
        <w:rPr>
          <w:rFonts w:ascii="Arial" w:cs="Arial" w:eastAsia="Arial" w:hAnsi="Arial"/>
          <w:color w:val="666666"/>
          <w:sz w:val="22"/>
          <w:szCs w:val="22"/>
        </w:rPr>
        <w:t xml:space="preserve">  —  Attribution of Conduct to States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following conduct shall be considered an act of a state under international law:</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The conduct of any state organ, including persons or entities exercising governmental authority, regardless of whether the organ exercises legislative, executive, judicial, or any other function;</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The conduct of a person or group of persons acting in fact on the instructions of, or under the direction or control of, the state in carrying out the conduct;</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The conduct of a person or group of persons exercising elements of governmental authority in the absence or default of the official authorities.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Conduct of state organs remains attributable to the state even if the organ acts in excess of its authority or contravenes instructions, provided the conduct is carried out in the state's name and under the color of official authority.</w:t>
      </w:r>
    </w:p>
    <w:p>
      <w:pPr>
        <w:spacing w:after="60" w:before="220"/>
      </w:pPr>
      <w:r>
        <w:rPr>
          <w:rFonts w:ascii="Arial" w:cs="Arial" w:eastAsia="Arial" w:hAnsi="Arial"/>
          <w:b/>
          <w:bCs/>
          <w:color w:val="1B3A6B"/>
          <w:sz w:val="22"/>
          <w:szCs w:val="22"/>
        </w:rPr>
        <w:t xml:space="preserve">Article 7</w:t>
      </w:r>
      <w:r>
        <w:rPr>
          <w:rFonts w:ascii="Arial" w:cs="Arial" w:eastAsia="Arial" w:hAnsi="Arial"/>
          <w:color w:val="666666"/>
          <w:sz w:val="22"/>
          <w:szCs w:val="22"/>
        </w:rPr>
        <w:t xml:space="preserve">  —  Circumstances Precluding Wrongfulness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wrongfulness of an act of a state may be precluded in the following circumstances, subject to the limitations set out in paragraph 2:</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Consent — valid consent by a state to the commission of an act by another state precludes wrongfulness with respect to that state to the extent the act remains within the limits of the consent;</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Self-defence — lawful measures of self-defence taken in conformity with the Charter of the United Mirians;</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Countermeasures — countermeasures taken against a responsible state in accordance with international law;</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Force majeure — the occurrence of an irresistible force or an unforeseen event beyond the state's control making it materially impossible to perform the obligation;</w:t>
      </w:r>
    </w:p>
    <w:p>
      <w:pPr>
        <w:spacing w:after="40" w:before="40" w:line="276"/>
        <w:ind w:left="1080" w:hanging="360"/>
        <w:jc w:val="both"/>
      </w:pPr>
      <w:r>
        <w:rPr>
          <w:rFonts w:ascii="Garamond" w:cs="Garamond" w:eastAsia="Garamond" w:hAnsi="Garamond"/>
          <w:b/>
          <w:bCs/>
          <w:color w:val="333333"/>
          <w:sz w:val="22"/>
          <w:szCs w:val="22"/>
        </w:rPr>
        <w:t xml:space="preserve">(e)  </w:t>
      </w:r>
      <w:r>
        <w:rPr>
          <w:rFonts w:ascii="Garamond" w:cs="Garamond" w:eastAsia="Garamond" w:hAnsi="Garamond"/>
          <w:color w:val="333333"/>
          <w:sz w:val="22"/>
          <w:szCs w:val="22"/>
        </w:rPr>
        <w:t xml:space="preserve">Distress — where the author of the act had no other reasonable way of saving lives;</w:t>
      </w:r>
    </w:p>
    <w:p>
      <w:pPr>
        <w:spacing w:after="40" w:before="40" w:line="276"/>
        <w:ind w:left="1080" w:hanging="360"/>
        <w:jc w:val="both"/>
      </w:pPr>
      <w:r>
        <w:rPr>
          <w:rFonts w:ascii="Garamond" w:cs="Garamond" w:eastAsia="Garamond" w:hAnsi="Garamond"/>
          <w:b/>
          <w:bCs/>
          <w:color w:val="333333"/>
          <w:sz w:val="22"/>
          <w:szCs w:val="22"/>
        </w:rPr>
        <w:t xml:space="preserve">(f)  </w:t>
      </w:r>
      <w:r>
        <w:rPr>
          <w:rFonts w:ascii="Garamond" w:cs="Garamond" w:eastAsia="Garamond" w:hAnsi="Garamond"/>
          <w:color w:val="333333"/>
          <w:sz w:val="22"/>
          <w:szCs w:val="22"/>
        </w:rPr>
        <w:t xml:space="preserve">Necessity — where the act is the only means available to safeguard an essential interest of the state against a grave and imminent peril, subject to the limitations in paragraph 2.</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No circumstance precluding wrongfulness may be invoked with respect to any obligation arising under a peremptory norm of general international law (jus cogens). In particular, necessity and distress may not be invoked to justify conduct that violates the prohibition on genocide, crimes against humanity, or the fundamental rules of international humanitarian law.</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A state may not invoke necessity if the state has contributed to the situation of necessity.</w:t>
      </w:r>
    </w:p>
    <w:p>
      <w:pPr>
        <w:spacing w:after="60" w:before="40" w:line="260"/>
        <w:ind w:left="360"/>
        <w:jc w:val="both"/>
      </w:pPr>
      <w:r>
        <w:rPr>
          <w:rFonts w:ascii="Arial" w:cs="Arial" w:eastAsia="Arial" w:hAnsi="Arial"/>
          <w:i/>
          <w:iCs/>
          <w:color w:val="C5922A"/>
          <w:sz w:val="19"/>
          <w:szCs w:val="19"/>
        </w:rPr>
        <w:t xml:space="preserve">Cross-reference: UM Charter Article 20 — Self-defence. HCM Statute Article 25 — Grounds for excluding criminal responsibility. </w:t>
      </w:r>
    </w:p>
    <w:p>
      <w:pPr>
        <w:spacing w:after="60" w:before="220"/>
      </w:pPr>
      <w:r>
        <w:rPr>
          <w:rFonts w:ascii="Arial" w:cs="Arial" w:eastAsia="Arial" w:hAnsi="Arial"/>
          <w:b/>
          <w:bCs/>
          <w:color w:val="1B3A6B"/>
          <w:sz w:val="22"/>
          <w:szCs w:val="22"/>
        </w:rPr>
        <w:t xml:space="preserve">Article 8</w:t>
      </w:r>
      <w:r>
        <w:rPr>
          <w:rFonts w:ascii="Arial" w:cs="Arial" w:eastAsia="Arial" w:hAnsi="Arial"/>
          <w:color w:val="666666"/>
          <w:sz w:val="22"/>
          <w:szCs w:val="22"/>
        </w:rPr>
        <w:t xml:space="preserve">  —  Obligations of Reparation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state responsible for an internationally wrongful act is under an obligation to make full reparation for the injury caused by that act. Injury includes any damage, whether material or moral, caused by the internationally wrongful act.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Full reparation shall take the form of restitution, compensation, and satisfaction, either singly or in combination:</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Restitution means re-establishing the situation which existed before the wrongful act was committed, to the extent that this is not materially impossible and does not involve a burden wholly disproportionate to the benefit of restitution over compensation;</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Compensation covers any financially assessable damage including loss of profits insofar as established;</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Satisfaction may consist in an acknowledgement of the breach, an expression of regret, a formal apology, or another appropriate modality.</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Interest on any principal sum owed shall be payable from the date when the principal sum should have been paid until the date the obligation to pay is fulfilled.</w:t>
      </w:r>
    </w:p>
    <w:p>
      <w:pPr>
        <w:spacing w:after="60" w:before="220"/>
      </w:pPr>
      <w:r>
        <w:rPr>
          <w:rFonts w:ascii="Arial" w:cs="Arial" w:eastAsia="Arial" w:hAnsi="Arial"/>
          <w:b/>
          <w:bCs/>
          <w:color w:val="1B3A6B"/>
          <w:sz w:val="22"/>
          <w:szCs w:val="22"/>
        </w:rPr>
        <w:t xml:space="preserve">Article 9</w:t>
      </w:r>
      <w:r>
        <w:rPr>
          <w:rFonts w:ascii="Arial" w:cs="Arial" w:eastAsia="Arial" w:hAnsi="Arial"/>
          <w:color w:val="666666"/>
          <w:sz w:val="22"/>
          <w:szCs w:val="22"/>
        </w:rPr>
        <w:t xml:space="preserve">  —  Serious Breaches of Peremptory Norms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state is responsible for a serious breach of a peremptory norm of international law where the breach involves a gross or systematic failure to fulfil the obligation.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States shall cooperate to bring to an end through lawful means any serious breach of a peremptory norm.</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No state shall recognize as lawful a situation created by a serious breach of a peremptory norm, nor render aid or assistance in maintaining that situation.</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The foregoing obligations apply to all states, including states not directly injured by the breach, in recognition of the erga omnes character of peremptory norms.</w:t>
      </w:r>
    </w:p>
    <w:p>
      <w:pPr>
        <w:spacing w:after="200" w:before="0"/>
      </w:pPr>
    </w:p>
    <w:p>
      <w:pPr>
        <w:spacing w:after="80" w:before="400"/>
        <w:jc w:val="center"/>
      </w:pPr>
      <w:r>
        <w:rPr>
          <w:rFonts w:ascii="Arial" w:cs="Arial" w:eastAsia="Arial" w:hAnsi="Arial"/>
          <w:b/>
          <w:bCs/>
          <w:caps/>
          <w:color w:val="1B3A6B"/>
          <w:sz w:val="26"/>
          <w:szCs w:val="26"/>
        </w:rPr>
        <w:t xml:space="preserve">PART III — PEREMPTORY NORMS OF INTERNATIONAL LAW (JUS COGENS)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10</w:t>
      </w:r>
      <w:r>
        <w:rPr>
          <w:rFonts w:ascii="Arial" w:cs="Arial" w:eastAsia="Arial" w:hAnsi="Arial"/>
          <w:color w:val="666666"/>
          <w:sz w:val="22"/>
          <w:szCs w:val="22"/>
        </w:rPr>
        <w:t xml:space="preserve">  —  Definition and Character of Jus Cogens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peremptory norm of general international law (jus cogens) is a norm accepted and recognized by the international community of states as a whole as a norm from which no derogation is permitted and which can be modified only by a subsequent norm of general international law having the same character.</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peremptory character of a norm does not depend on its expression in any particular treaty or instrument. Peremptory norms bind all states regardless of consent, treaty ratification, or persistent objection.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Any treaty provision or unilateral act that conflicts with a peremptory norm is void to the extent of the conflict.</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The following consequences flow from the peremptory character of a norm:</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No state may invoke any circumstance to preclude wrongfulness with respect to conduct that violates a peremptory norm;</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All states have a legal interest in compliance with peremptory norms regardless of whether they are directly injured by any particular violation;</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Serious breaches of peremptory norms entail the obligations set out in Article 9 of the present Codification.</w:t>
      </w:r>
    </w:p>
    <w:p>
      <w:pPr>
        <w:spacing w:after="60" w:before="220"/>
      </w:pPr>
      <w:r>
        <w:rPr>
          <w:rFonts w:ascii="Arial" w:cs="Arial" w:eastAsia="Arial" w:hAnsi="Arial"/>
          <w:b/>
          <w:bCs/>
          <w:color w:val="1B3A6B"/>
          <w:sz w:val="22"/>
          <w:szCs w:val="22"/>
        </w:rPr>
        <w:t xml:space="preserve">Article 11</w:t>
      </w:r>
      <w:r>
        <w:rPr>
          <w:rFonts w:ascii="Arial" w:cs="Arial" w:eastAsia="Arial" w:hAnsi="Arial"/>
          <w:color w:val="666666"/>
          <w:sz w:val="22"/>
          <w:szCs w:val="22"/>
        </w:rPr>
        <w:t xml:space="preserve">  —  Recognized Peremptory Norms</w:t>
      </w:r>
    </w:p>
    <w:p>
      <w:pPr>
        <w:spacing w:after="60" w:before="60" w:line="276"/>
        <w:jc w:val="both"/>
      </w:pPr>
      <w:r>
        <w:rPr>
          <w:rFonts w:ascii="Garamond" w:cs="Garamond" w:eastAsia="Garamond" w:hAnsi="Garamond"/>
          <w:color w:val="333333"/>
          <w:sz w:val="22"/>
          <w:szCs w:val="22"/>
        </w:rPr>
        <w:t xml:space="preserve">The following norms are recognized as having peremptory character under international law applicable in Mir. This list is not exhaustive; additional norms may acquire peremptory status through the development of international law:</w:t>
      </w:r>
    </w:p>
    <w:p>
      <w:pPr>
        <w:spacing w:after="40" w:before="0"/>
      </w:pPr>
    </w:p>
    <w:p>
      <w:pPr>
        <w:spacing w:after="40" w:before="180"/>
      </w:pPr>
      <w:r>
        <w:rPr>
          <w:rFonts w:ascii="Arial" w:cs="Arial" w:eastAsia="Arial" w:hAnsi="Arial"/>
          <w:b/>
          <w:bCs/>
          <w:color w:val="1B3A6B"/>
          <w:sz w:val="22"/>
          <w:szCs w:val="22"/>
        </w:rPr>
        <w:t xml:space="preserve">Principle 1</w:t>
      </w:r>
      <w:r>
        <w:rPr>
          <w:rFonts w:ascii="Arial" w:cs="Arial" w:eastAsia="Arial" w:hAnsi="Arial"/>
          <w:color w:val="666666"/>
          <w:sz w:val="22"/>
          <w:szCs w:val="22"/>
        </w:rPr>
        <w:t xml:space="preserve">  —  Prohibition of Aggression</w:t>
      </w:r>
    </w:p>
    <w:p>
      <w:pPr>
        <w:spacing w:after="80" w:before="40" w:line="276"/>
        <w:ind w:left="360"/>
        <w:jc w:val="both"/>
      </w:pPr>
      <w:r>
        <w:rPr>
          <w:rFonts w:ascii="Garamond" w:cs="Garamond" w:eastAsia="Garamond" w:hAnsi="Garamond"/>
          <w:color w:val="333333"/>
          <w:sz w:val="22"/>
          <w:szCs w:val="22"/>
        </w:rPr>
        <w:t xml:space="preserve">The prohibition on the use of force by one state against the territorial integrity or political independence of another state, as established in the Charter of the United Mirians, constitutes a peremptory norm. No treaty, agreement, or circumstance may authorize or justify aggression. Territorial acquisition through aggression is void ab initio and shall not be recognized.</w:t>
      </w:r>
    </w:p>
    <w:p>
      <w:pPr>
        <w:spacing w:after="40" w:before="180"/>
      </w:pPr>
      <w:r>
        <w:rPr>
          <w:rFonts w:ascii="Arial" w:cs="Arial" w:eastAsia="Arial" w:hAnsi="Arial"/>
          <w:b/>
          <w:bCs/>
          <w:color w:val="1B3A6B"/>
          <w:sz w:val="22"/>
          <w:szCs w:val="22"/>
        </w:rPr>
        <w:t xml:space="preserve">Principle 2</w:t>
      </w:r>
      <w:r>
        <w:rPr>
          <w:rFonts w:ascii="Arial" w:cs="Arial" w:eastAsia="Arial" w:hAnsi="Arial"/>
          <w:color w:val="666666"/>
          <w:sz w:val="22"/>
          <w:szCs w:val="22"/>
        </w:rPr>
        <w:t xml:space="preserve">  —  Prohibition of Genocide</w:t>
      </w:r>
    </w:p>
    <w:p>
      <w:pPr>
        <w:spacing w:after="80" w:before="40" w:line="276"/>
        <w:ind w:left="360"/>
        <w:jc w:val="both"/>
      </w:pPr>
      <w:r>
        <w:rPr>
          <w:rFonts w:ascii="Garamond" w:cs="Garamond" w:eastAsia="Garamond" w:hAnsi="Garamond"/>
          <w:color w:val="333333"/>
          <w:sz w:val="22"/>
          <w:szCs w:val="22"/>
        </w:rPr>
        <w:t xml:space="preserve">The prohibition on acts committed with intent to destroy, in whole or in part, a national, ethnic, racial, or religious group constitutes a peremptory norm. The prohibition on genocide binds all states regardless of treaty ratification and gives rise to obligations erga omnes.</w:t>
      </w:r>
    </w:p>
    <w:p>
      <w:pPr>
        <w:spacing w:after="40" w:before="180"/>
      </w:pPr>
      <w:r>
        <w:rPr>
          <w:rFonts w:ascii="Arial" w:cs="Arial" w:eastAsia="Arial" w:hAnsi="Arial"/>
          <w:b/>
          <w:bCs/>
          <w:color w:val="1B3A6B"/>
          <w:sz w:val="22"/>
          <w:szCs w:val="22"/>
        </w:rPr>
        <w:t xml:space="preserve">Principle 3</w:t>
      </w:r>
      <w:r>
        <w:rPr>
          <w:rFonts w:ascii="Arial" w:cs="Arial" w:eastAsia="Arial" w:hAnsi="Arial"/>
          <w:color w:val="666666"/>
          <w:sz w:val="22"/>
          <w:szCs w:val="22"/>
        </w:rPr>
        <w:t xml:space="preserve">  —  Prohibition of Crimes Against Humanity</w:t>
      </w:r>
    </w:p>
    <w:p>
      <w:pPr>
        <w:spacing w:after="80" w:before="40" w:line="276"/>
        <w:ind w:left="360"/>
        <w:jc w:val="both"/>
      </w:pPr>
      <w:r>
        <w:rPr>
          <w:rFonts w:ascii="Garamond" w:cs="Garamond" w:eastAsia="Garamond" w:hAnsi="Garamond"/>
          <w:color w:val="333333"/>
          <w:sz w:val="22"/>
          <w:szCs w:val="22"/>
        </w:rPr>
        <w:t xml:space="preserve">The prohibition on widespread or systematic attacks directed against any civilian population, as defined in Article 10 of the Statute of the High Court of Mir, constitutes a peremptory norm. The prohibition applies in peacetime as well as in armed conflict and binds all states regardless of treaty ratification.</w:t>
      </w:r>
    </w:p>
    <w:p>
      <w:pPr>
        <w:spacing w:after="40" w:before="180"/>
      </w:pPr>
      <w:r>
        <w:rPr>
          <w:rFonts w:ascii="Arial" w:cs="Arial" w:eastAsia="Arial" w:hAnsi="Arial"/>
          <w:b/>
          <w:bCs/>
          <w:color w:val="1B3A6B"/>
          <w:sz w:val="22"/>
          <w:szCs w:val="22"/>
        </w:rPr>
        <w:t xml:space="preserve">Principle 4</w:t>
      </w:r>
      <w:r>
        <w:rPr>
          <w:rFonts w:ascii="Arial" w:cs="Arial" w:eastAsia="Arial" w:hAnsi="Arial"/>
          <w:color w:val="666666"/>
          <w:sz w:val="22"/>
          <w:szCs w:val="22"/>
        </w:rPr>
        <w:t xml:space="preserve">  —  Prohibition of Slavery and the Slave Trade</w:t>
      </w:r>
    </w:p>
    <w:p>
      <w:pPr>
        <w:spacing w:after="80" w:before="40" w:line="276"/>
        <w:ind w:left="360"/>
        <w:jc w:val="both"/>
      </w:pPr>
      <w:r>
        <w:rPr>
          <w:rFonts w:ascii="Garamond" w:cs="Garamond" w:eastAsia="Garamond" w:hAnsi="Garamond"/>
          <w:color w:val="333333"/>
          <w:sz w:val="22"/>
          <w:szCs w:val="22"/>
        </w:rPr>
        <w:t xml:space="preserve">The prohibition on slavery, the slave trade, and analogous practices of servitude in all their forms constitutes a peremptory norm. No circumstance, cultural tradition, economic necessity, or security interest may justify conduct prohibited by this norm.</w:t>
      </w:r>
    </w:p>
    <w:p>
      <w:pPr>
        <w:spacing w:after="40" w:before="180"/>
      </w:pPr>
      <w:r>
        <w:rPr>
          <w:rFonts w:ascii="Arial" w:cs="Arial" w:eastAsia="Arial" w:hAnsi="Arial"/>
          <w:b/>
          <w:bCs/>
          <w:color w:val="1B3A6B"/>
          <w:sz w:val="22"/>
          <w:szCs w:val="22"/>
        </w:rPr>
        <w:t xml:space="preserve">Principle 5</w:t>
      </w:r>
      <w:r>
        <w:rPr>
          <w:rFonts w:ascii="Arial" w:cs="Arial" w:eastAsia="Arial" w:hAnsi="Arial"/>
          <w:color w:val="666666"/>
          <w:sz w:val="22"/>
          <w:szCs w:val="22"/>
        </w:rPr>
        <w:t xml:space="preserve">  —  Prohibition of Torture</w:t>
      </w:r>
    </w:p>
    <w:p>
      <w:pPr>
        <w:spacing w:after="80" w:before="40" w:line="276"/>
        <w:ind w:left="360"/>
        <w:jc w:val="both"/>
      </w:pPr>
      <w:r>
        <w:rPr>
          <w:rFonts w:ascii="Garamond" w:cs="Garamond" w:eastAsia="Garamond" w:hAnsi="Garamond"/>
          <w:color w:val="333333"/>
          <w:sz w:val="22"/>
          <w:szCs w:val="22"/>
        </w:rPr>
        <w:t xml:space="preserve">The prohibition on torture and cruel, inhuman, or degrading treatment or punishment constitutes a peremptory norm. The prohibition is absolute and admits of no exception, including in circumstances of armed conflict, public emergency, or claimed necessity.</w:t>
      </w:r>
    </w:p>
    <w:p>
      <w:pPr>
        <w:spacing w:after="40" w:before="180"/>
      </w:pPr>
      <w:r>
        <w:rPr>
          <w:rFonts w:ascii="Arial" w:cs="Arial" w:eastAsia="Arial" w:hAnsi="Arial"/>
          <w:b/>
          <w:bCs/>
          <w:color w:val="1B3A6B"/>
          <w:sz w:val="22"/>
          <w:szCs w:val="22"/>
        </w:rPr>
        <w:t xml:space="preserve">Principle 6</w:t>
      </w:r>
      <w:r>
        <w:rPr>
          <w:rFonts w:ascii="Arial" w:cs="Arial" w:eastAsia="Arial" w:hAnsi="Arial"/>
          <w:color w:val="666666"/>
          <w:sz w:val="22"/>
          <w:szCs w:val="22"/>
        </w:rPr>
        <w:t xml:space="preserve">  —  Fundamental Rules of International Humanitarian Law</w:t>
      </w:r>
    </w:p>
    <w:p>
      <w:pPr>
        <w:spacing w:after="80" w:before="40" w:line="276"/>
        <w:ind w:left="360"/>
        <w:jc w:val="both"/>
      </w:pPr>
      <w:r>
        <w:rPr>
          <w:rFonts w:ascii="Garamond" w:cs="Garamond" w:eastAsia="Garamond" w:hAnsi="Garamond"/>
          <w:color w:val="333333"/>
          <w:sz w:val="22"/>
          <w:szCs w:val="22"/>
        </w:rPr>
        <w:t xml:space="preserve">The fundamental rules of international humanitarian law governing the conduct of armed conflict constitute peremptory norms. These include the prohibition on deliberately targeting civilians, the prohibition on indiscriminate attacks, the prohibition on means and methods of warfare causing unnecessary suffering, and the prohibition on causing widespread, long-term, and severe damage to the natural environment. No military necessity, self-defence claim, or other circumstance may derogate from these fundamental rules.</w:t>
      </w:r>
    </w:p>
    <w:p>
      <w:pPr>
        <w:spacing w:after="40" w:before="180"/>
      </w:pPr>
      <w:r>
        <w:rPr>
          <w:rFonts w:ascii="Arial" w:cs="Arial" w:eastAsia="Arial" w:hAnsi="Arial"/>
          <w:b/>
          <w:bCs/>
          <w:color w:val="1B3A6B"/>
          <w:sz w:val="22"/>
          <w:szCs w:val="22"/>
        </w:rPr>
        <w:t xml:space="preserve">Principle 7</w:t>
      </w:r>
      <w:r>
        <w:rPr>
          <w:rFonts w:ascii="Arial" w:cs="Arial" w:eastAsia="Arial" w:hAnsi="Arial"/>
          <w:color w:val="666666"/>
          <w:sz w:val="22"/>
          <w:szCs w:val="22"/>
        </w:rPr>
        <w:t xml:space="preserve">  —  Right of Self-Determination</w:t>
      </w:r>
    </w:p>
    <w:p>
      <w:pPr>
        <w:spacing w:after="80" w:before="40" w:line="276"/>
        <w:ind w:left="360"/>
        <w:jc w:val="both"/>
      </w:pPr>
      <w:r>
        <w:rPr>
          <w:rFonts w:ascii="Garamond" w:cs="Garamond" w:eastAsia="Garamond" w:hAnsi="Garamond"/>
          <w:color w:val="333333"/>
          <w:sz w:val="22"/>
          <w:szCs w:val="22"/>
        </w:rPr>
        <w:t xml:space="preserve">The right of peoples to self-determination constitutes a peremptory norm. All peoples have the right freely to determine their political status and freely to pursue their economic, social, and cultural development. The denial of self-determination by force constitutes a violation of a peremptory norm giving rise to obligations erga omnes.</w:t>
      </w:r>
    </w:p>
    <w:p>
      <w:pPr>
        <w:spacing w:after="40" w:before="180"/>
      </w:pPr>
      <w:r>
        <w:rPr>
          <w:rFonts w:ascii="Arial" w:cs="Arial" w:eastAsia="Arial" w:hAnsi="Arial"/>
          <w:b/>
          <w:bCs/>
          <w:color w:val="1B3A6B"/>
          <w:sz w:val="22"/>
          <w:szCs w:val="22"/>
        </w:rPr>
        <w:t xml:space="preserve">Principle 8</w:t>
      </w:r>
      <w:r>
        <w:rPr>
          <w:rFonts w:ascii="Arial" w:cs="Arial" w:eastAsia="Arial" w:hAnsi="Arial"/>
          <w:color w:val="666666"/>
          <w:sz w:val="22"/>
          <w:szCs w:val="22"/>
        </w:rPr>
        <w:t xml:space="preserve">  —  Prohibition of Racial Discrimination and Apartheid</w:t>
      </w:r>
    </w:p>
    <w:p>
      <w:pPr>
        <w:spacing w:after="80" w:before="40" w:line="276"/>
        <w:ind w:left="360"/>
        <w:jc w:val="both"/>
      </w:pPr>
      <w:r>
        <w:rPr>
          <w:rFonts w:ascii="Garamond" w:cs="Garamond" w:eastAsia="Garamond" w:hAnsi="Garamond"/>
          <w:color w:val="333333"/>
          <w:sz w:val="22"/>
          <w:szCs w:val="22"/>
        </w:rPr>
        <w:t xml:space="preserve">The prohibition on systematic racial discrimination, segregation, and apartheid constitutes a peremptory norm. States are obligated to eliminate racial discrimination in all its forms and to refrain from lending support to systems of racial domination.</w:t>
      </w:r>
    </w:p>
    <w:p>
      <w:pPr>
        <w:spacing w:after="60" w:before="40" w:line="260"/>
        <w:ind w:left="360"/>
        <w:jc w:val="both"/>
      </w:pPr>
      <w:r>
        <w:rPr>
          <w:rFonts w:ascii="Arial" w:cs="Arial" w:eastAsia="Arial" w:hAnsi="Arial"/>
          <w:i/>
          <w:iCs/>
          <w:color w:val="C5922A"/>
          <w:sz w:val="19"/>
          <w:szCs w:val="19"/>
        </w:rPr>
        <w:t xml:space="preserve">Cross-reference: SWORD Articles 16, 17, 20, 21, 22 — fundamental rules of IHL constituting peremptory norms under Principle 6. BLOOM Articles 5, 6, 7 — non-derogable rights whose core protections have peremptory character.</w:t>
      </w:r>
    </w:p>
    <w:p>
      <w:pPr>
        <w:spacing w:after="200" w:before="0"/>
      </w:pPr>
    </w:p>
    <w:p>
      <w:pPr>
        <w:spacing w:after="80" w:before="400"/>
        <w:jc w:val="center"/>
      </w:pPr>
      <w:r>
        <w:rPr>
          <w:rFonts w:ascii="Arial" w:cs="Arial" w:eastAsia="Arial" w:hAnsi="Arial"/>
          <w:b/>
          <w:bCs/>
          <w:caps/>
          <w:color w:val="1B3A6B"/>
          <w:sz w:val="26"/>
          <w:szCs w:val="26"/>
        </w:rPr>
        <w:t xml:space="preserve">PART IV — THE MARTENS CLAUSE AND PRINCIPLES OF HUMANITY</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12</w:t>
      </w:r>
      <w:r>
        <w:rPr>
          <w:rFonts w:ascii="Arial" w:cs="Arial" w:eastAsia="Arial" w:hAnsi="Arial"/>
          <w:color w:val="666666"/>
          <w:sz w:val="22"/>
          <w:szCs w:val="22"/>
        </w:rPr>
        <w:t xml:space="preserve">  —  The Martens Clause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In cases not covered by specific treaty provisions or by established rules of customary international law, persons remain under the protection and authority of the principles of international law derived from established custom, the principles of humanity, and the dictates of public conscience. This principle, known as the Martens Clause, constitutes a gap-filling rule of general application in international humanitarian law.</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Martens Clause performs the following functions in the international legal system:</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It ensures that the absence of a specific treaty prohibition does not imply that a means or method of warfare is permitted;</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It provides a basis for the progressive development of customary rules where state practice is still forming;</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It serves as an interpretive principle requiring that ambiguous treaty provisions be construed in light of the principles of humanity and the dictates of public conscience.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Martens Clause does not generate specific rights or obligations independently of the principles it invokes. Its application requires identification of the relevant principles of humanity and public conscience applicable in the specific context.</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The principles of humanity require, at a minimum, that persons be treated with dignity and that their suffering not be increased beyond what is inherent in any lawful military purpose. The dictates of public conscience reflect the moral convictions of the international community regarding what is and is not acceptable in armed conflict.</w:t>
      </w:r>
    </w:p>
    <w:p>
      <w:pPr>
        <w:spacing w:after="60" w:before="40" w:line="260"/>
        <w:ind w:left="360"/>
        <w:jc w:val="both"/>
      </w:pPr>
      <w:r>
        <w:rPr>
          <w:rFonts w:ascii="Arial" w:cs="Arial" w:eastAsia="Arial" w:hAnsi="Arial"/>
          <w:i/>
          <w:iCs/>
          <w:color w:val="C5922A"/>
          <w:sz w:val="19"/>
          <w:szCs w:val="19"/>
        </w:rPr>
        <w:t xml:space="preserve">Cross-reference: SWORD Article 1(4) — Martens Clause as codified in the Vagene Conventions. GLOW Opinion paragraphs 17 — application of the Martens Clause to nuclear weapons.</w:t>
      </w:r>
    </w:p>
    <w:p>
      <w:pPr>
        <w:spacing w:after="60" w:before="220"/>
      </w:pPr>
      <w:r>
        <w:rPr>
          <w:rFonts w:ascii="Arial" w:cs="Arial" w:eastAsia="Arial" w:hAnsi="Arial"/>
          <w:b/>
          <w:bCs/>
          <w:color w:val="1B3A6B"/>
          <w:sz w:val="22"/>
          <w:szCs w:val="22"/>
        </w:rPr>
        <w:t xml:space="preserve">Article 13</w:t>
      </w:r>
      <w:r>
        <w:rPr>
          <w:rFonts w:ascii="Arial" w:cs="Arial" w:eastAsia="Arial" w:hAnsi="Arial"/>
          <w:color w:val="666666"/>
          <w:sz w:val="22"/>
          <w:szCs w:val="22"/>
        </w:rPr>
        <w:t xml:space="preserve">  —  Principles of Humanity as Interpretive Framework</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principles of humanity shall be applied by courts and tribunals as an interpretive framework in cases involving:</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The legality of specific weapons or means of warfare where no explicit treaty prohibition applies;</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The scope of protections afforded to persons in armed conflict where treaty provisions are ambiguous;</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The content of obligations in areas of international law where customary rules are still developing.</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application of the principles of humanity does not require that all conceivable suffering be prohibited. It requires that suffering not caused by legitimate military necessity be avoided, and that methods of warfare that cause suffering disproportionate to any conceivable military advantage be prohibited.</w:t>
      </w:r>
    </w:p>
    <w:p>
      <w:pPr>
        <w:spacing w:after="200" w:before="0"/>
      </w:pPr>
    </w:p>
    <w:p>
      <w:pPr>
        <w:spacing w:after="80" w:before="400"/>
        <w:jc w:val="center"/>
      </w:pPr>
      <w:r>
        <w:rPr>
          <w:rFonts w:ascii="Arial" w:cs="Arial" w:eastAsia="Arial" w:hAnsi="Arial"/>
          <w:b/>
          <w:bCs/>
          <w:caps/>
          <w:color w:val="1B3A6B"/>
          <w:sz w:val="26"/>
          <w:szCs w:val="26"/>
        </w:rPr>
        <w:t xml:space="preserve">PART V — OBLIGATIONS ERGA OMNES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14</w:t>
      </w:r>
      <w:r>
        <w:rPr>
          <w:rFonts w:ascii="Arial" w:cs="Arial" w:eastAsia="Arial" w:hAnsi="Arial"/>
          <w:color w:val="666666"/>
          <w:sz w:val="22"/>
          <w:szCs w:val="22"/>
        </w:rPr>
        <w:t xml:space="preserve">  —  Definition and Character</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Obligations erga omnes are obligations owed by a state to the international community of states as a whole. All states have a legal interest in the fulfilment of such obligations and are entitled to invoke the responsibility of a state for their breach, regardless of whether the invoking state is directly injured.</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Obligations erga omnes arise from:</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Peremptory norms of general international law (jus cogens), as identified in Part III of the present Codification;</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Treaty obligations that by their nature and purpose are owed to the international community as a whole rather than to individual states, including obligations relating to the protection of persons in armed conflict and the prohibition of crimes against humanity.</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erga omnes character of an obligation does not affect the primary rules governing the content of the obligation. It affects only the standing of states to invoke responsibility for breach.</w:t>
      </w:r>
    </w:p>
    <w:p>
      <w:pPr>
        <w:spacing w:after="60" w:before="220"/>
      </w:pPr>
      <w:r>
        <w:rPr>
          <w:rFonts w:ascii="Arial" w:cs="Arial" w:eastAsia="Arial" w:hAnsi="Arial"/>
          <w:b/>
          <w:bCs/>
          <w:color w:val="1B3A6B"/>
          <w:sz w:val="22"/>
          <w:szCs w:val="22"/>
        </w:rPr>
        <w:t xml:space="preserve">Article 15</w:t>
      </w:r>
      <w:r>
        <w:rPr>
          <w:rFonts w:ascii="Arial" w:cs="Arial" w:eastAsia="Arial" w:hAnsi="Arial"/>
          <w:color w:val="666666"/>
          <w:sz w:val="22"/>
          <w:szCs w:val="22"/>
        </w:rPr>
        <w:t xml:space="preserve">  —  Invocation of Responsibility for Erga Omnes Violations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Any state may invoke the responsibility of another state for a breach of an obligation erga omnes, regardless of whether the invoking state has been specially affected by the breach.</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 state invoking responsibility for an erga omnes violation may call on the responsible state to cease the internationally wrongful act and to offer appropriate assurances of non-repetition, and may claim performance of the obligation of reparation in the interest of the injured state or of the beneficiaries of the obligation.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right of any state to invoke responsibility for erga omnes violations does not affect the right of any directly injured state to seek remedies independently, nor does it affect the jurisdiction of international courts and tribunals with respect to such violations.</w:t>
      </w:r>
    </w:p>
    <w:p>
      <w:pPr>
        <w:spacing w:after="60" w:before="40" w:line="260"/>
        <w:ind w:left="360"/>
        <w:jc w:val="both"/>
      </w:pPr>
      <w:r>
        <w:rPr>
          <w:rFonts w:ascii="Arial" w:cs="Arial" w:eastAsia="Arial" w:hAnsi="Arial"/>
          <w:i/>
          <w:iCs/>
          <w:color w:val="C5922A"/>
          <w:sz w:val="19"/>
          <w:szCs w:val="19"/>
        </w:rPr>
        <w:t xml:space="preserve">Cross-reference: SWORD Article 28(1) — obligations erga omnes in international humanitarian law. HCM Statute Article 15 — referral of situations to the Prosecutor by any State Party.</w:t>
      </w:r>
    </w:p>
    <w:p>
      <w:pPr>
        <w:spacing w:after="200" w:before="0"/>
      </w:pPr>
    </w:p>
    <w:p>
      <w:pPr>
        <w:spacing w:after="80" w:before="400"/>
        <w:jc w:val="center"/>
      </w:pPr>
      <w:r>
        <w:rPr>
          <w:rFonts w:ascii="Arial" w:cs="Arial" w:eastAsia="Arial" w:hAnsi="Arial"/>
          <w:b/>
          <w:bCs/>
          <w:caps/>
          <w:color w:val="1B3A6B"/>
          <w:sz w:val="26"/>
          <w:szCs w:val="26"/>
        </w:rPr>
        <w:t xml:space="preserve">PART VI — PRINCIPLES OF TREATY LAW</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16</w:t>
      </w:r>
      <w:r>
        <w:rPr>
          <w:rFonts w:ascii="Arial" w:cs="Arial" w:eastAsia="Arial" w:hAnsi="Arial"/>
          <w:color w:val="666666"/>
          <w:sz w:val="22"/>
          <w:szCs w:val="22"/>
        </w:rPr>
        <w:t xml:space="preserve">  —  Pacta Sunt Servanda</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Every treaty in force is binding upon the parties to it and must be performed by them in good faith. This principle — pacta sunt servanda — is the foundational rule of treaty law and constitutes a general principle of law as well as a rule of customary international law.</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 party may not invoke the provisions of its internal law as justification for its failure to perform a treaty obligation. Internal law, including constitutional provisions, does not excuse non-performance of international obligations.</w:t>
      </w:r>
    </w:p>
    <w:p>
      <w:pPr>
        <w:spacing w:after="60" w:before="220"/>
      </w:pPr>
      <w:r>
        <w:rPr>
          <w:rFonts w:ascii="Arial" w:cs="Arial" w:eastAsia="Arial" w:hAnsi="Arial"/>
          <w:b/>
          <w:bCs/>
          <w:color w:val="1B3A6B"/>
          <w:sz w:val="22"/>
          <w:szCs w:val="22"/>
        </w:rPr>
        <w:t xml:space="preserve">Article 17</w:t>
      </w:r>
      <w:r>
        <w:rPr>
          <w:rFonts w:ascii="Arial" w:cs="Arial" w:eastAsia="Arial" w:hAnsi="Arial"/>
          <w:color w:val="666666"/>
          <w:sz w:val="22"/>
          <w:szCs w:val="22"/>
        </w:rPr>
        <w:t xml:space="preserve">  —  Interpretation of Treaties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treaty shall be interpreted in good faith in accordance with the ordinary meaning to be given to the terms of the treaty in their context and in the light of its object and purpose.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context for the purpose of the interpretation of a treaty comprises, in addition to the text including its preamble and annexes:</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Any agreement relating to the treaty which was made between all the parties in connection with the conclusion of the treaty;</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Any instrument which was made by one or more parties in connection with the conclusion of the treaty and accepted by the other parties as an instrument related to the treaty.</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There shall be taken into account, together with the context: any subsequent agreement between the parties regarding the interpretation of the treaty or the application of its provisions; any subsequent practice in the application of the treaty which establishes the agreement of the parties regarding its interpretation; and any relevant rules of international law applicable in the relations between the parties.</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A special meaning shall be given to a term if it is established that the parties so intended.</w:t>
      </w:r>
    </w:p>
    <w:p>
      <w:pPr>
        <w:pBdr>
          <w:left w:val="single" w:color="666666" w:sz="6" w:space="8"/>
        </w:pBdr>
        <w:spacing w:after="60" w:before="60" w:line="260"/>
        <w:ind w:left="360"/>
        <w:jc w:val="both"/>
      </w:pPr>
      <w:r>
        <w:rPr>
          <w:rFonts w:ascii="Garamond" w:cs="Garamond" w:eastAsia="Garamond" w:hAnsi="Garamond"/>
          <w:i/>
          <w:iCs/>
          <w:color w:val="4A4A4A"/>
          <w:sz w:val="20"/>
          <w:szCs w:val="20"/>
        </w:rPr>
        <w:t xml:space="preserve">The principles of treaty interpretation in this Article are directly applicable to the interpretation of the Belogal reservation under the MCWC and the acceptance notations of the other State Parties. Under paragraph 2, the acceptance notations form part of the context of the reservation and must be taken into account in determining its scope.</w:t>
      </w:r>
    </w:p>
    <w:p>
      <w:pPr>
        <w:spacing w:after="60" w:before="40" w:line="260"/>
        <w:ind w:left="360"/>
        <w:jc w:val="both"/>
      </w:pPr>
      <w:r>
        <w:rPr>
          <w:rFonts w:ascii="Arial" w:cs="Arial" w:eastAsia="Arial" w:hAnsi="Arial"/>
          <w:i/>
          <w:iCs/>
          <w:color w:val="C5922A"/>
          <w:sz w:val="19"/>
          <w:szCs w:val="19"/>
        </w:rPr>
        <w:t xml:space="preserve">Cross-reference: MCWC Article 20 and Annexes I and II.</w:t>
      </w:r>
    </w:p>
    <w:p>
      <w:pPr>
        <w:spacing w:after="60" w:before="220"/>
      </w:pPr>
      <w:r>
        <w:rPr>
          <w:rFonts w:ascii="Arial" w:cs="Arial" w:eastAsia="Arial" w:hAnsi="Arial"/>
          <w:b/>
          <w:bCs/>
          <w:color w:val="1B3A6B"/>
          <w:sz w:val="22"/>
          <w:szCs w:val="22"/>
        </w:rPr>
        <w:t xml:space="preserve">Article 18</w:t>
      </w:r>
      <w:r>
        <w:rPr>
          <w:rFonts w:ascii="Arial" w:cs="Arial" w:eastAsia="Arial" w:hAnsi="Arial"/>
          <w:color w:val="666666"/>
          <w:sz w:val="22"/>
          <w:szCs w:val="22"/>
        </w:rPr>
        <w:t xml:space="preserve">  —  Reservations to Treaties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state may, when signing, ratifying, accepting, approving, or acceding to a treaty, formulate a reservation unless:</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The reservation is prohibited by the treaty;</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The treaty provides that only specified reservations, which do not include the reservation in question, may be made; or</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In cases not falling under subparagraphs (a) and (b), the reservation is incompatible with the object and purpose of the treaty.</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 reservation incompatible with the object and purpose of the treaty is of no legal effect. The determination of incompatibility is a legal question to be resolved by reference to the nature of the treaty, the character of the obligation in question, and the impact of the reservation on the fulfilment of the treaty's object and purpose.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Where a reservation is of doubtful validity, the reserving state bears the burden of demonstrating its compatibility with the object and purpose of the treaty.</w:t>
      </w:r>
    </w:p>
    <w:p>
      <w:pPr>
        <w:spacing w:after="60" w:before="40" w:line="260"/>
        <w:ind w:left="360"/>
        <w:jc w:val="both"/>
      </w:pPr>
      <w:r>
        <w:rPr>
          <w:rFonts w:ascii="Arial" w:cs="Arial" w:eastAsia="Arial" w:hAnsi="Arial"/>
          <w:i/>
          <w:iCs/>
          <w:color w:val="C5922A"/>
          <w:sz w:val="19"/>
          <w:szCs w:val="19"/>
        </w:rPr>
        <w:t xml:space="preserve">Cross-reference: MCWC Article 20 — Reservations.</w:t>
      </w:r>
    </w:p>
    <w:p>
      <w:pPr>
        <w:spacing w:after="60" w:before="220"/>
      </w:pPr>
      <w:r>
        <w:rPr>
          <w:rFonts w:ascii="Arial" w:cs="Arial" w:eastAsia="Arial" w:hAnsi="Arial"/>
          <w:b/>
          <w:bCs/>
          <w:color w:val="1B3A6B"/>
          <w:sz w:val="22"/>
          <w:szCs w:val="22"/>
        </w:rPr>
        <w:t xml:space="preserve">Article 19</w:t>
      </w:r>
      <w:r>
        <w:rPr>
          <w:rFonts w:ascii="Arial" w:cs="Arial" w:eastAsia="Arial" w:hAnsi="Arial"/>
          <w:color w:val="666666"/>
          <w:sz w:val="22"/>
          <w:szCs w:val="22"/>
        </w:rPr>
        <w:t xml:space="preserve">  —  Conflict Between Treaties and Jus Cogens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treaty is void if, at the time of its conclusion, it conflicts with a peremptory norm of general international law.</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If a new peremptory norm of general international law emerges, any existing treaty which is in conflict with that norm becomes void and terminates.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A reservation to a treaty that conflicts with a peremptory norm is void regardless of whether other parties have accepted the reservation. Acceptance of a reservation that is contrary to jus cogens does not validate the reservation.</w:t>
      </w:r>
    </w:p>
    <w:p>
      <w:pPr>
        <w:spacing w:after="200" w:before="0"/>
      </w:pPr>
    </w:p>
    <w:p>
      <w:pPr>
        <w:spacing w:after="80" w:before="400"/>
        <w:jc w:val="center"/>
      </w:pPr>
      <w:r>
        <w:rPr>
          <w:rFonts w:ascii="Arial" w:cs="Arial" w:eastAsia="Arial" w:hAnsi="Arial"/>
          <w:b/>
          <w:bCs/>
          <w:caps/>
          <w:color w:val="1B3A6B"/>
          <w:sz w:val="26"/>
          <w:szCs w:val="26"/>
        </w:rPr>
        <w:t xml:space="preserve">PART VII — SELECTED GENERAL PRINCIPLES OF INTERNATIONAL LAW</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20</w:t>
      </w:r>
      <w:r>
        <w:rPr>
          <w:rFonts w:ascii="Arial" w:cs="Arial" w:eastAsia="Arial" w:hAnsi="Arial"/>
          <w:color w:val="666666"/>
          <w:sz w:val="22"/>
          <w:szCs w:val="22"/>
        </w:rPr>
        <w:t xml:space="preserve">  —  Good Faith</w:t>
      </w:r>
    </w:p>
    <w:p>
      <w:pPr>
        <w:spacing w:after="60" w:before="60" w:line="276"/>
        <w:jc w:val="both"/>
      </w:pPr>
      <w:r>
        <w:rPr>
          <w:rFonts w:ascii="Garamond" w:cs="Garamond" w:eastAsia="Garamond" w:hAnsi="Garamond"/>
          <w:color w:val="333333"/>
          <w:sz w:val="22"/>
          <w:szCs w:val="22"/>
        </w:rPr>
        <w:t xml:space="preserve">States shall perform their international obligations and exercise their international rights in good faith. The principle of good faith applies to treaty performance, to negotiations, to the exercise of self-defence, and to the conduct of proceedings before international courts and tribunals. A state that invokes a right under international law in a manner that is incompatible with the purpose for which the right was established acts contrary to good faith.</w:t>
      </w:r>
    </w:p>
    <w:p>
      <w:pPr>
        <w:spacing w:after="60" w:before="220"/>
      </w:pPr>
      <w:r>
        <w:rPr>
          <w:rFonts w:ascii="Arial" w:cs="Arial" w:eastAsia="Arial" w:hAnsi="Arial"/>
          <w:b/>
          <w:bCs/>
          <w:color w:val="1B3A6B"/>
          <w:sz w:val="22"/>
          <w:szCs w:val="22"/>
        </w:rPr>
        <w:t xml:space="preserve">Article 21</w:t>
      </w:r>
      <w:r>
        <w:rPr>
          <w:rFonts w:ascii="Arial" w:cs="Arial" w:eastAsia="Arial" w:hAnsi="Arial"/>
          <w:color w:val="666666"/>
          <w:sz w:val="22"/>
          <w:szCs w:val="22"/>
        </w:rPr>
        <w:t xml:space="preserve">  —  Proportionality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principle of proportionality is a general principle of international law applicable across multiple domains. In its general form, it requires that measures taken in pursuit of a legitimate aim must not be excessive in relation to that aim.</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In the law of armed conflict, proportionality governs the relationship between anticipated civilian harm and anticipated military advantage, as codified in Article 17 of the SWORD.</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In the law of self-defence, proportionality requires that defensive measures not exceed what is necessary to repel the armed attack and restore the situation that existed before the attack.</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Proportionality in self-defence is assessed by reference to the threat actually faced at the time of the defensive measures, not by reference to speculative or anticipated future threats. The burden of demonstrating proportionality rests on the state invoking self-defence.</w:t>
      </w:r>
    </w:p>
    <w:p>
      <w:pPr>
        <w:spacing w:after="60" w:before="40" w:line="260"/>
        <w:ind w:left="360"/>
        <w:jc w:val="both"/>
      </w:pPr>
      <w:r>
        <w:rPr>
          <w:rFonts w:ascii="Arial" w:cs="Arial" w:eastAsia="Arial" w:hAnsi="Arial"/>
          <w:i/>
          <w:iCs/>
          <w:color w:val="C5922A"/>
          <w:sz w:val="19"/>
          <w:szCs w:val="19"/>
        </w:rPr>
        <w:t xml:space="preserve">Cross-reference: SWORD Article 17 — Proportionality in armed conflict. UM Charter Article 20 — Self-defence.</w:t>
      </w:r>
    </w:p>
    <w:p>
      <w:pPr>
        <w:spacing w:after="60" w:before="220"/>
      </w:pPr>
      <w:r>
        <w:rPr>
          <w:rFonts w:ascii="Arial" w:cs="Arial" w:eastAsia="Arial" w:hAnsi="Arial"/>
          <w:b/>
          <w:bCs/>
          <w:color w:val="1B3A6B"/>
          <w:sz w:val="22"/>
          <w:szCs w:val="22"/>
        </w:rPr>
        <w:t xml:space="preserve">Article 22</w:t>
      </w:r>
      <w:r>
        <w:rPr>
          <w:rFonts w:ascii="Arial" w:cs="Arial" w:eastAsia="Arial" w:hAnsi="Arial"/>
          <w:color w:val="666666"/>
          <w:sz w:val="22"/>
          <w:szCs w:val="22"/>
        </w:rPr>
        <w:t xml:space="preserve">  —  Necessity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Necessity may be invoked to preclude the wrongfulness of an act not in conformity with an international obligation only if the act is the only means available to safeguard an essential interest against a grave and imminent peril, and does not seriously impair an essential interest of the state or states towards which the obligation exists, or of the international community as a whole.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Necessity may not be invoked as a ground for precluding wrongfulness if:</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The international obligation in question excludes the possibility of invoking necessity;</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The state has contributed to the situation of necessity;</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The conduct in question violates a peremptory norm of international law.</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peril justifying necessity must be established objectively on the basis of information available at the time of the act. Speculative or hypothetical perils do not satisfy the requirement of a grave and imminent peril.</w:t>
      </w:r>
    </w:p>
    <w:p>
      <w:pPr>
        <w:pBdr>
          <w:left w:val="single" w:color="666666" w:sz="6" w:space="8"/>
        </w:pBdr>
        <w:spacing w:after="60" w:before="60" w:line="260"/>
        <w:ind w:left="360"/>
        <w:jc w:val="both"/>
      </w:pPr>
      <w:r>
        <w:rPr>
          <w:rFonts w:ascii="Garamond" w:cs="Garamond" w:eastAsia="Garamond" w:hAnsi="Garamond"/>
          <w:i/>
          <w:iCs/>
          <w:color w:val="4A4A4A"/>
          <w:sz w:val="20"/>
          <w:szCs w:val="20"/>
        </w:rPr>
        <w:t xml:space="preserve">The invocation of necessity requires that the peril be both grave and imminent. A peril that is grave but not yet imminent — such as a weapons programme under development but not yet operational — may not satisfy this standard, depending on the specific circumstances and the nature of the threat.</w:t>
      </w:r>
    </w:p>
    <w:p>
      <w:pPr>
        <w:spacing w:after="60" w:before="220"/>
      </w:pPr>
      <w:r>
        <w:rPr>
          <w:rFonts w:ascii="Arial" w:cs="Arial" w:eastAsia="Arial" w:hAnsi="Arial"/>
          <w:b/>
          <w:bCs/>
          <w:color w:val="1B3A6B"/>
          <w:sz w:val="22"/>
          <w:szCs w:val="22"/>
        </w:rPr>
        <w:t xml:space="preserve">Article 23</w:t>
      </w:r>
      <w:r>
        <w:rPr>
          <w:rFonts w:ascii="Arial" w:cs="Arial" w:eastAsia="Arial" w:hAnsi="Arial"/>
          <w:color w:val="666666"/>
          <w:sz w:val="22"/>
          <w:szCs w:val="22"/>
        </w:rPr>
        <w:t xml:space="preserve">  —  No Benefit from Wrongdoing</w:t>
      </w:r>
    </w:p>
    <w:p>
      <w:pPr>
        <w:spacing w:after="60" w:before="60" w:line="276"/>
        <w:jc w:val="both"/>
      </w:pPr>
      <w:r>
        <w:rPr>
          <w:rFonts w:ascii="Garamond" w:cs="Garamond" w:eastAsia="Garamond" w:hAnsi="Garamond"/>
          <w:color w:val="333333"/>
          <w:sz w:val="22"/>
          <w:szCs w:val="22"/>
        </w:rPr>
        <w:t xml:space="preserve">A state may not benefit from its own internationally wrongful act. This principle — ex injuria jus non oritur — means that rights, titles, or legal positions acquired through internationally wrongful conduct are invalid and shall not be recognized. Territorial gains acquired through aggression, rights claimed on the basis of unlawful occupation, and legal positions established through violations of peremptory norms are void ab initio.</w:t>
      </w:r>
    </w:p>
    <w:p>
      <w:pPr>
        <w:spacing w:after="60" w:before="220"/>
      </w:pPr>
      <w:r>
        <w:rPr>
          <w:rFonts w:ascii="Arial" w:cs="Arial" w:eastAsia="Arial" w:hAnsi="Arial"/>
          <w:b/>
          <w:bCs/>
          <w:color w:val="1B3A6B"/>
          <w:sz w:val="22"/>
          <w:szCs w:val="22"/>
        </w:rPr>
        <w:t xml:space="preserve">Article 24</w:t>
      </w:r>
      <w:r>
        <w:rPr>
          <w:rFonts w:ascii="Arial" w:cs="Arial" w:eastAsia="Arial" w:hAnsi="Arial"/>
          <w:color w:val="666666"/>
          <w:sz w:val="22"/>
          <w:szCs w:val="22"/>
        </w:rPr>
        <w:t xml:space="preserve">  —  Sovereign Equality</w:t>
      </w:r>
    </w:p>
    <w:p>
      <w:pPr>
        <w:spacing w:after="60" w:before="60" w:line="276"/>
        <w:jc w:val="both"/>
      </w:pPr>
      <w:r>
        <w:rPr>
          <w:rFonts w:ascii="Garamond" w:cs="Garamond" w:eastAsia="Garamond" w:hAnsi="Garamond"/>
          <w:color w:val="333333"/>
          <w:sz w:val="22"/>
          <w:szCs w:val="22"/>
        </w:rPr>
        <w:t xml:space="preserve">All states are sovereign equals in international law regardless of their size, power, or political system. Sovereign equality means that each state has equal legal personality, equal rights, and equal duties under international law. The principle of sovereign equality does not insulate states from accountability for violations of international law, nor does it entitle powerful states to special treatment in the application of international legal rules.</w:t>
      </w:r>
    </w:p>
    <w:p>
      <w:pPr>
        <w:spacing w:after="60" w:before="220"/>
      </w:pPr>
      <w:r>
        <w:rPr>
          <w:rFonts w:ascii="Arial" w:cs="Arial" w:eastAsia="Arial" w:hAnsi="Arial"/>
          <w:b/>
          <w:bCs/>
          <w:color w:val="1B3A6B"/>
          <w:sz w:val="22"/>
          <w:szCs w:val="22"/>
        </w:rPr>
        <w:t xml:space="preserve">Article 25</w:t>
      </w:r>
      <w:r>
        <w:rPr>
          <w:rFonts w:ascii="Arial" w:cs="Arial" w:eastAsia="Arial" w:hAnsi="Arial"/>
          <w:color w:val="666666"/>
          <w:sz w:val="22"/>
          <w:szCs w:val="22"/>
        </w:rPr>
        <w:t xml:space="preserve">  —  Non-Intervention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No state or group of states has the right to intervene, directly or indirectly, for any reason whatsoever, in the internal or external affairs of any other state. The principle of non-intervention prohibits armed intervention as well as all other forms of interference or attempted threats against the personality of the state or against its political, economic, and cultural elements.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principle of non-intervention does not preclude collective measures authorized by the United Mirians General Assembly under Chapter VI of the Charter of the United Mirians, nor does it preclude the exercise of jurisdiction by international courts and tribunals over conduct that violates international law.</w:t>
      </w:r>
    </w:p>
    <w:p>
      <w:pPr>
        <w:spacing w:after="200" w:before="0"/>
      </w:pPr>
    </w:p>
    <w:p>
      <w:pPr>
        <w:spacing w:after="80" w:before="400"/>
        <w:jc w:val="center"/>
      </w:pPr>
      <w:r>
        <w:rPr>
          <w:rFonts w:ascii="Arial" w:cs="Arial" w:eastAsia="Arial" w:hAnsi="Arial"/>
          <w:b/>
          <w:bCs/>
          <w:caps/>
          <w:color w:val="1B3A6B"/>
          <w:sz w:val="26"/>
          <w:szCs w:val="26"/>
        </w:rPr>
        <w:t xml:space="preserve">PART VIII — FINAL PROVISIONS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26</w:t>
      </w:r>
      <w:r>
        <w:rPr>
          <w:rFonts w:ascii="Arial" w:cs="Arial" w:eastAsia="Arial" w:hAnsi="Arial"/>
          <w:color w:val="666666"/>
          <w:sz w:val="22"/>
          <w:szCs w:val="22"/>
        </w:rPr>
        <w:t xml:space="preserve">  —  Authority and Legal Status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present Codification is an authoritative restatement of customary international law and general principles as they apply in Mir. It does not create new obligations but reflects existing ones.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All divisions of the High Court of Mir shall take the present Codification into account in proceedings before them. The Codification may be relied upon by parties to proceedings as evidence of the content of customary international law and general principles.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present Codification shall be cited as CORE, UM DOC/CORE/001, in all legal proceedings.</w:t>
      </w:r>
    </w:p>
    <w:p>
      <w:pPr>
        <w:spacing w:after="60" w:before="220"/>
      </w:pPr>
      <w:r>
        <w:rPr>
          <w:rFonts w:ascii="Arial" w:cs="Arial" w:eastAsia="Arial" w:hAnsi="Arial"/>
          <w:b/>
          <w:bCs/>
          <w:color w:val="1B3A6B"/>
          <w:sz w:val="22"/>
          <w:szCs w:val="22"/>
        </w:rPr>
        <w:t xml:space="preserve">Article 27</w:t>
      </w:r>
      <w:r>
        <w:rPr>
          <w:rFonts w:ascii="Arial" w:cs="Arial" w:eastAsia="Arial" w:hAnsi="Arial"/>
          <w:color w:val="666666"/>
          <w:sz w:val="22"/>
          <w:szCs w:val="22"/>
        </w:rPr>
        <w:t xml:space="preserve">  —  Progressive Development</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International Law Commission of Mir shall review and update the present Codification periodically to reflect the progressive development of customary international law and general principles.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Proposed updates shall be submitted to the United Mirians General Assembly for endorsement. Updates take effect upon endorsement by the UMGA.</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Courts and tribunals may identify and apply rules of customary international law not yet reflected in the present Codification, provided they articulate the evidence of state practice and opinio juris supporting the rule.</w:t>
      </w:r>
    </w:p>
    <w:p>
      <w:pPr>
        <w:spacing w:after="200" w:before="0"/>
      </w:pPr>
    </w:p>
    <w:p>
      <w:pPr>
        <w:spacing w:after="80" w:before="400"/>
        <w:jc w:val="center"/>
      </w:pPr>
      <w:r>
        <w:rPr>
          <w:rFonts w:ascii="Arial" w:cs="Arial" w:eastAsia="Arial" w:hAnsi="Arial"/>
          <w:b/>
          <w:bCs/>
          <w:caps/>
          <w:color w:val="1B3A6B"/>
          <w:sz w:val="26"/>
          <w:szCs w:val="26"/>
        </w:rPr>
        <w:t xml:space="preserve">ADOPTED BY THE INTERNATIONAL LAW COMMISSION OF MIR</w:t>
      </w:r>
    </w:p>
    <w:p>
      <w:pPr>
        <w:pBdr>
          <w:bottom w:val="single" w:color="C5922A" w:sz="6" w:space="1"/>
        </w:pBdr>
        <w:spacing w:after="120" w:before="40"/>
      </w:pPr>
    </w:p>
    <w:p>
      <w:pPr>
        <w:spacing w:after="60" w:before="60" w:line="276"/>
        <w:jc w:val="both"/>
      </w:pPr>
      <w:r>
        <w:rPr>
          <w:rFonts w:ascii="Garamond" w:cs="Garamond" w:eastAsia="Garamond" w:hAnsi="Garamond"/>
          <w:color w:val="333333"/>
          <w:sz w:val="22"/>
          <w:szCs w:val="22"/>
        </w:rPr>
        <w:t xml:space="preserve">The present Codification was adopted by the International Law Commission of Mir and transmitted to the United Mirians General Assembly with a recommendation for endorsement. It was endorsed by the UMGA without amendment and deposited with the Secretariat of the United Mirians.</w:t>
      </w:r>
    </w:p>
    <w:p>
      <w:pPr>
        <w:spacing w:after="80" w:before="0"/>
      </w:pPr>
    </w:p>
    <w:p>
      <w:pPr>
        <w:spacing w:after="60" w:before="60" w:line="276"/>
        <w:jc w:val="both"/>
      </w:pPr>
      <w:r>
        <w:rPr>
          <w:rFonts w:ascii="Garamond" w:cs="Garamond" w:eastAsia="Garamond" w:hAnsi="Garamond"/>
          <w:color w:val="333333"/>
          <w:sz w:val="22"/>
          <w:szCs w:val="22"/>
        </w:rPr>
        <w:t xml:space="preserve">Signed by the Chair of the International Law Commission of Mir and authenticated by the Secretary-General of the United Mirians.</w:t>
      </w:r>
    </w:p>
    <w:p>
      <w:pPr>
        <w:spacing w:after="160" w:before="0"/>
      </w:pPr>
    </w:p>
    <w:p>
      <w:pPr>
        <w:spacing w:after="40" w:before="80"/>
      </w:pPr>
      <w:r>
        <w:rPr>
          <w:rFonts w:ascii="Arial" w:cs="Arial" w:eastAsia="Arial" w:hAnsi="Arial"/>
          <w:b/>
          <w:bCs/>
          <w:color w:val="1B3A6B"/>
          <w:sz w:val="22"/>
          <w:szCs w:val="22"/>
        </w:rPr>
        <w:t xml:space="preserve">Chair, International Law Commission of Mir:</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Secretary-General, United Mirians:</w:t>
      </w:r>
    </w:p>
    <w:p>
      <w:pPr>
        <w:pBdr>
          <w:bottom w:val="single" w:color="666666" w:sz="2" w:space="2"/>
        </w:pBdr>
        <w:spacing w:after="120" w:before="40"/>
      </w:pPr>
      <w:r>
        <w:rPr>
          <w:rFonts w:ascii="Garamond" w:cs="Garamond" w:eastAsia="Garamond" w:hAnsi="Garamond"/>
          <w:sz w:val="22"/>
          <w:szCs w:val="22"/>
        </w:rPr>
        <w:t xml:space="preserve"> </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United Mirians  |  CORE  |  Mir Codification of Obligations and Rules of Engagement</w:t>
    </w:r>
    <w: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6"/>
        <w:szCs w:val="16"/>
      </w:rPr>
      <w:t xml:space="preserve">MIR CODIFICATION OF OBLIGATIONS AND RULES OF ENGAGEMENT (CORE)</w:t>
    </w:r>
    <w:r>
      <w:t xml:space="preserve">	</w:t>
    </w:r>
    <w:r>
      <w:rPr>
        <w:rFonts w:ascii="Arial" w:cs="Arial" w:eastAsia="Arial" w:hAnsi="Arial"/>
        <w:color w:val="666666"/>
        <w:sz w:val="16"/>
        <w:szCs w:val="16"/>
      </w:rPr>
      <w:t xml:space="preserve">UM DOC/CORE/001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B3A6B"/>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2026-05-24T05:30:35.410Z</dcterms:created>
  <dcterms:modified xsi:type="dcterms:W3CDTF">2026-05-24T05:30:35.424Z</dcterms:modified>
</cp:coreProperties>
</file>

<file path=docProps/custom.xml><?xml version="1.0" encoding="utf-8"?>
<Properties xmlns="http://schemas.openxmlformats.org/officeDocument/2006/custom-properties" xmlns:vt="http://schemas.openxmlformats.org/officeDocument/2006/docPropsVTypes"/>
</file>