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olor w:val="1B3A6B"/>
          <w:sz w:val="72"/>
          <w:szCs w:val="72"/>
        </w:rPr>
        <w:t xml:space="preserve">⚖</w:t>
      </w:r>
    </w:p>
    <w:p>
      <w:pPr>
        <w:spacing w:after="120" w:before="0"/>
      </w:pPr>
    </w:p>
    <w:p>
      <w:pPr>
        <w:jc w:val="center"/>
      </w:pPr>
      <w:r>
        <w:rPr>
          <w:rFonts w:ascii="Arial" w:cs="Arial" w:eastAsia="Arial" w:hAnsi="Arial"/>
          <w:caps/>
          <w:color w:val="666666"/>
          <w:sz w:val="28"/>
          <w:szCs w:val="28"/>
        </w:rPr>
        <w:t xml:space="preserve">STATUTE OF THE</w:t>
      </w:r>
    </w:p>
    <w:p>
      <w:pPr>
        <w:jc w:val="center"/>
      </w:pPr>
      <w:r>
        <w:rPr>
          <w:rFonts w:ascii="Arial" w:cs="Arial" w:eastAsia="Arial" w:hAnsi="Arial"/>
          <w:b/>
          <w:bCs/>
          <w:caps/>
          <w:color w:val="1B3A6B"/>
          <w:sz w:val="48"/>
          <w:szCs w:val="48"/>
        </w:rPr>
        <w:t xml:space="preserve">HIGH COURT OF MIR</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Established under the Charter of the United Mirians, Article 25</w:t>
      </w:r>
    </w:p>
    <w:p>
      <w:pPr>
        <w:spacing w:after="40" w:before="0"/>
      </w:pPr>
    </w:p>
    <w:p>
      <w:pPr>
        <w:jc w:val="center"/>
      </w:pPr>
      <w:r>
        <w:rPr>
          <w:rFonts w:ascii="Garamond" w:cs="Garamond" w:eastAsia="Garamond" w:hAnsi="Garamond"/>
          <w:i/>
          <w:iCs/>
          <w:color w:val="666666"/>
          <w:sz w:val="22"/>
          <w:szCs w:val="22"/>
        </w:rPr>
        <w:t xml:space="preserve">As amended to establish the Divisions of the Court</w:t>
      </w:r>
    </w:p>
    <w:p>
      <w:pPr>
        <w:spacing w:after="80" w:before="0"/>
      </w:pPr>
    </w:p>
    <w:p>
      <w:pPr>
        <w:pBdr>
          <w:bottom w:val="single" w:color="C5922A" w:sz="6" w:space="1"/>
        </w:pBdr>
        <w:spacing w:after="0" w:before="0"/>
      </w:pPr>
    </w:p>
    <w:p>
      <w:pPr>
        <w:spacing w:after="120" w:before="0"/>
      </w:pPr>
    </w:p>
    <w:p>
      <w:pPr>
        <w:jc w:val="center"/>
      </w:pPr>
      <w:r>
        <w:rPr>
          <w:rFonts w:ascii="Arial" w:cs="Arial" w:eastAsia="Arial" w:hAnsi="Arial"/>
          <w:b/>
          <w:bCs/>
          <w:color w:val="1B3A6B"/>
          <w:sz w:val="20"/>
          <w:szCs w:val="20"/>
        </w:rPr>
        <w:t xml:space="preserve">DIVISIONS OF THE HIGH COURT OF MIR</w:t>
      </w:r>
    </w:p>
    <w:p>
      <w:pPr>
        <w:spacing w:after="60" w:before="0"/>
      </w:pPr>
    </w:p>
    <w:p>
      <w:pPr>
        <w:jc w:val="center"/>
      </w:pPr>
      <w:r>
        <w:rPr>
          <w:rFonts w:ascii="Garamond" w:cs="Garamond" w:eastAsia="Garamond" w:hAnsi="Garamond"/>
          <w:color w:val="333333"/>
          <w:sz w:val="22"/>
          <w:szCs w:val="22"/>
        </w:rPr>
        <w:t xml:space="preserve">Division I  —  International Criminal Chamber</w:t>
      </w:r>
    </w:p>
    <w:p>
      <w:pPr>
        <w:jc w:val="center"/>
      </w:pPr>
      <w:r>
        <w:rPr>
          <w:rFonts w:ascii="Garamond" w:cs="Garamond" w:eastAsia="Garamond" w:hAnsi="Garamond"/>
          <w:color w:val="333333"/>
          <w:sz w:val="22"/>
          <w:szCs w:val="22"/>
        </w:rPr>
        <w:t xml:space="preserve">Division II  —  Inter-State Disputes Chamber</w:t>
      </w:r>
    </w:p>
    <w:p>
      <w:pPr>
        <w:jc w:val="center"/>
      </w:pPr>
      <w:r>
        <w:rPr>
          <w:rFonts w:ascii="Garamond" w:cs="Garamond" w:eastAsia="Garamond" w:hAnsi="Garamond"/>
          <w:color w:val="333333"/>
          <w:sz w:val="22"/>
          <w:szCs w:val="22"/>
        </w:rPr>
        <w:t xml:space="preserve">Division III  —  Maritime and Environmental Chamber</w:t>
      </w:r>
    </w:p>
    <w:p>
      <w:pPr>
        <w:jc w:val="center"/>
      </w:pPr>
      <w:r>
        <w:rPr>
          <w:rFonts w:ascii="Garamond" w:cs="Garamond" w:eastAsia="Garamond" w:hAnsi="Garamond"/>
          <w:color w:val="333333"/>
          <w:sz w:val="22"/>
          <w:szCs w:val="22"/>
        </w:rPr>
        <w:t xml:space="preserve">Division IV  —  Advisory Chamber</w:t>
      </w:r>
    </w:p>
    <w:p>
      <w:pPr>
        <w:jc w:val="center"/>
      </w:pPr>
      <w:r>
        <w:rPr>
          <w:rFonts w:ascii="Garamond" w:cs="Garamond" w:eastAsia="Garamond" w:hAnsi="Garamond"/>
          <w:color w:val="333333"/>
          <w:sz w:val="22"/>
          <w:szCs w:val="22"/>
        </w:rPr>
        <w:t xml:space="preserve">Division V  —  Human Rights Chamber</w:t>
      </w:r>
    </w:p>
    <w:p>
      <w:pPr>
        <w:jc w:val="center"/>
      </w:pPr>
      <w:r>
        <w:rPr>
          <w:rFonts w:ascii="Garamond" w:cs="Garamond" w:eastAsia="Garamond" w:hAnsi="Garamond"/>
          <w:color w:val="333333"/>
          <w:sz w:val="22"/>
          <w:szCs w:val="22"/>
        </w:rPr>
        <w:t xml:space="preserve">Division VI  —  Trade and Investment Chamber</w:t>
      </w:r>
    </w:p>
    <w:p>
      <w:pPr>
        <w:spacing w:after="60" w:before="0"/>
      </w:pPr>
    </w:p>
    <w:p>
      <w:pPr>
        <w:jc w:val="center"/>
      </w:pPr>
      <w:r>
        <w:rPr>
          <w:rFonts w:ascii="Garamond" w:cs="Garamond" w:eastAsia="Garamond" w:hAnsi="Garamond"/>
          <w:b/>
          <w:bCs/>
          <w:color w:val="1B3A6B"/>
          <w:sz w:val="22"/>
          <w:szCs w:val="22"/>
        </w:rPr>
        <w:t xml:space="preserve">Grand Chamber  —  Appellate and Constitutional Jurisdiction</w:t>
      </w:r>
    </w:p>
    <w:p>
      <w:pPr>
        <w:spacing w:after="400" w:before="0"/>
      </w:pPr>
    </w:p>
    <w:p>
      <w:pPr>
        <w:spacing w:after="60" w:before="480"/>
        <w:jc w:val="center"/>
      </w:pPr>
      <w:r>
        <w:rPr>
          <w:rFonts w:ascii="Arial" w:cs="Arial" w:eastAsia="Arial" w:hAnsi="Arial"/>
          <w:b/>
          <w:bCs/>
          <w:caps/>
          <w:color w:val="1B3A6B"/>
          <w:sz w:val="28"/>
          <w:szCs w:val="28"/>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HIGH CONTRACTING PARTIES TO THIS STATUTE,</w:t>
      </w:r>
    </w:p>
    <w:p>
      <w:pPr>
        <w:spacing w:after="40" w:before="0"/>
      </w:pPr>
    </w:p>
    <w:p>
      <w:pPr>
        <w:spacing w:after="80" w:before="80" w:line="300"/>
        <w:ind w:left="360"/>
        <w:jc w:val="both"/>
      </w:pPr>
      <w:r>
        <w:rPr>
          <w:rFonts w:ascii="Garamond" w:cs="Garamond" w:eastAsia="Garamond" w:hAnsi="Garamond"/>
          <w:i/>
          <w:iCs/>
          <w:color w:val="333333"/>
          <w:sz w:val="22"/>
          <w:szCs w:val="22"/>
        </w:rPr>
        <w:t xml:space="preserve">RECOGNIZING that the peaceful settlement of disputes and the accountability of individuals for international crimes are essential to the maintenance of international peace and security in Mir,</w:t>
      </w:r>
    </w:p>
    <w:p>
      <w:pPr>
        <w:spacing w:after="80" w:before="80" w:line="300"/>
        <w:ind w:left="360"/>
        <w:jc w:val="both"/>
      </w:pPr>
      <w:r>
        <w:rPr>
          <w:rFonts w:ascii="Garamond" w:cs="Garamond" w:eastAsia="Garamond" w:hAnsi="Garamond"/>
          <w:i/>
          <w:iCs/>
          <w:color w:val="333333"/>
          <w:sz w:val="22"/>
          <w:szCs w:val="22"/>
        </w:rPr>
        <w:t xml:space="preserve">AFFIRMING that the most serious violations of international law must not go unpunished and that their effective prosecution must be ensured through a permanent institution exercising jurisdiction over individuals,</w:t>
      </w:r>
    </w:p>
    <w:p>
      <w:pPr>
        <w:spacing w:after="80" w:before="80" w:line="300"/>
        <w:ind w:left="360"/>
        <w:jc w:val="both"/>
      </w:pPr>
      <w:r>
        <w:rPr>
          <w:rFonts w:ascii="Garamond" w:cs="Garamond" w:eastAsia="Garamond" w:hAnsi="Garamond"/>
          <w:i/>
          <w:iCs/>
          <w:color w:val="333333"/>
          <w:sz w:val="22"/>
          <w:szCs w:val="22"/>
        </w:rPr>
        <w:t xml:space="preserve">DETERMINED to guarantee lasting respect for the enforcement of international justice through the establishment of an independent international court with jurisdiction over states and individuals,</w:t>
      </w:r>
    </w:p>
    <w:p>
      <w:pPr>
        <w:spacing w:after="80" w:before="80" w:line="300"/>
        <w:ind w:left="360"/>
        <w:jc w:val="both"/>
      </w:pPr>
      <w:r>
        <w:rPr>
          <w:rFonts w:ascii="Garamond" w:cs="Garamond" w:eastAsia="Garamond" w:hAnsi="Garamond"/>
          <w:i/>
          <w:iCs/>
          <w:color w:val="333333"/>
          <w:sz w:val="22"/>
          <w:szCs w:val="22"/>
        </w:rPr>
        <w:t xml:space="preserve">RECALLING that it is the duty of every state to exercise its criminal jurisdiction over those responsible for international crimes,</w:t>
      </w:r>
    </w:p>
    <w:p>
      <w:pPr>
        <w:spacing w:after="80" w:before="80" w:line="300"/>
        <w:ind w:left="360"/>
        <w:jc w:val="both"/>
      </w:pPr>
      <w:r>
        <w:rPr>
          <w:rFonts w:ascii="Garamond" w:cs="Garamond" w:eastAsia="Garamond" w:hAnsi="Garamond"/>
          <w:i/>
          <w:iCs/>
          <w:color w:val="333333"/>
          <w:sz w:val="22"/>
          <w:szCs w:val="22"/>
        </w:rPr>
        <w:t xml:space="preserve">RESOLVED to establish a permanent High Court of Mir as the principal judicial organ of the United Mirians, exercising jurisdiction across all domains of international law through specialized divisions,</w:t>
      </w:r>
    </w:p>
    <w:p>
      <w:pPr>
        <w:spacing w:after="80" w:before="80" w:line="300"/>
        <w:ind w:left="360"/>
        <w:jc w:val="both"/>
      </w:pPr>
      <w:r>
        <w:rPr>
          <w:rFonts w:ascii="Garamond" w:cs="Garamond" w:eastAsia="Garamond" w:hAnsi="Garamond"/>
          <w:i/>
          <w:iCs/>
          <w:color w:val="333333"/>
          <w:sz w:val="22"/>
          <w:szCs w:val="22"/>
        </w:rPr>
        <w:t xml:space="preserve">HAVE AGREED as follows:</w:t>
      </w:r>
    </w:p>
    <w:p>
      <w:pPr>
        <w:spacing w:after="200" w:before="0"/>
      </w:pPr>
    </w:p>
    <w:p>
      <w:pPr>
        <w:spacing w:after="60" w:before="480"/>
        <w:jc w:val="center"/>
      </w:pPr>
      <w:r>
        <w:rPr>
          <w:rFonts w:ascii="Arial" w:cs="Arial" w:eastAsia="Arial" w:hAnsi="Arial"/>
          <w:b/>
          <w:bCs/>
          <w:caps/>
          <w:color w:val="1B3A6B"/>
          <w:sz w:val="28"/>
          <w:szCs w:val="28"/>
        </w:rPr>
        <w:t xml:space="preserve">PART 1 — ESTABLISHMENT AND STRUCTURE OF THE COURT</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Establishment of the Court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There is hereby established the High Court of Mir (hereinafter 'the Court'). The Court shall be a permanent institution and shall have the power to exercise its jurisdiction over persons and states for the most serious matters of international concern, as referred to in this Statute, and shall be complementary to national criminal jurisdictions where applicable.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Court shall be an independent judicial organ of the United Mirians. It shall be governed by this Statute and shall act in accordance with the Charter of the United Mirians and applicable international law.</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seat of the Court shall be established at a location designated by the United Mirians General Assembly.</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Divisions of the Court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Court shall exercise its jurisdiction through the following Divisions, each constituting a specialized chamber with distinct subject-matter jurisdiction:</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Division I — International Criminal Chamber, exercising jurisdiction over individuals for genocide, crimes against humanity, war crimes, and the crime of aggression;</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Division II — Inter-State Disputes Chamber, exercising jurisdiction over legal disputes between Member States of the United Mirians;</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Division III — Maritime and Environmental Chamber, exercising jurisdiction over disputes concerning the law of the sea, deep seabed resources, and international environmental law;</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Division IV — Advisory Chamber, issuing advisory opinions on questions of international law at the request of authorized bodies;</w:t>
      </w:r>
    </w:p>
    <w:p>
      <w:pPr>
        <w:spacing w:after="40" w:before="40" w:line="276"/>
        <w:ind w:left="1080" w:hanging="360"/>
        <w:jc w:val="both"/>
      </w:pPr>
      <w:r>
        <w:rPr>
          <w:rFonts w:ascii="Garamond" w:cs="Garamond" w:eastAsia="Garamond" w:hAnsi="Garamond"/>
          <w:b/>
          <w:bCs/>
          <w:color w:val="333333"/>
          <w:sz w:val="22"/>
          <w:szCs w:val="22"/>
        </w:rPr>
        <w:t xml:space="preserve">(e)  </w:t>
      </w:r>
      <w:r>
        <w:rPr>
          <w:rFonts w:ascii="Garamond" w:cs="Garamond" w:eastAsia="Garamond" w:hAnsi="Garamond"/>
          <w:color w:val="333333"/>
          <w:sz w:val="22"/>
          <w:szCs w:val="22"/>
        </w:rPr>
        <w:t xml:space="preserve">Division V — Human Rights Chamber, exercising jurisdiction over petitions by individuals and groups alleging violations of the Mir Convention on Fundamental Rights by state parties;</w:t>
      </w:r>
    </w:p>
    <w:p>
      <w:pPr>
        <w:spacing w:after="40" w:before="40" w:line="276"/>
        <w:ind w:left="1080" w:hanging="360"/>
        <w:jc w:val="both"/>
      </w:pPr>
      <w:r>
        <w:rPr>
          <w:rFonts w:ascii="Garamond" w:cs="Garamond" w:eastAsia="Garamond" w:hAnsi="Garamond"/>
          <w:b/>
          <w:bCs/>
          <w:color w:val="333333"/>
          <w:sz w:val="22"/>
          <w:szCs w:val="22"/>
        </w:rPr>
        <w:t xml:space="preserve">(f)  </w:t>
      </w:r>
      <w:r>
        <w:rPr>
          <w:rFonts w:ascii="Garamond" w:cs="Garamond" w:eastAsia="Garamond" w:hAnsi="Garamond"/>
          <w:color w:val="333333"/>
          <w:sz w:val="22"/>
          <w:szCs w:val="22"/>
        </w:rPr>
        <w:t xml:space="preserve">Division VI — Trade and Investment Chamber, exercising jurisdiction over international trade disputes between states and investment disputes between states and foreign investors.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Grand Chamber shall exercise appellate jurisdiction over all Divisions and original jurisdiction in matters of fundamental constitutional importance as provided in Part 8 of this Statute.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Each Division shall operate pursuant to its own rules of procedure, consistent with this Statute, as adopted by the full bench of the Court.</w:t>
      </w: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Legal Personality and Privileges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Court shall have international legal personality. It shall also have such legal capacity as may be necessary for the exercise of its functions and the fulfilment of its purposes.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Court may exercise its functions on the territory of any State Party and, by special agreement, on the territory of any other state.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judges, Prosecutor, Deputy Prosecutors, Registrar, and Deputy Registrar shall enjoy the privileges, immunities, and facilities necessary for the performance of their functions, in accordance with an agreement to be negotiated with the host state.</w:t>
      </w: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Composition of the Court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Court shall be composed of the following judicial officers:</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A President and two Vice-Presidents, elected by the judges of the Court from among themselves;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Judges assigned to each Division in accordance with Article 5;</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A Prosecutor and such Deputy Prosecutors as necessary for Division I;</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A Registrar responsible for the non-judicial administration of the Court.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No two judges may be nationals of the same state. In the selection of judges, the parties shall take into account the need for the representation of the principal legal systems of Mir.</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Judges shall be persons of high moral character, impartiality, and integrity who possess the qualifications required in their respective states for appointment to the highest judicial offices.</w:t>
      </w: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Judicial Composition of Divisions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Division shall be composed of no fewer than three judges. The Grand Chamber shall be composed of all judges of the Court sitting together.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Division I — International Criminal Chamber shall include a Pre-Trial Chamber, a Trial Chamber, and an Appeals Chamber, each composed of no fewer than three judges. The Appeals Chamber of Division I shall not include judges who participated at the trial level in the same case.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Judges shall be assigned to Divisions by the President of the Court, having regard to the subject-matter expertise of each judge and the equitable distribution of the workload of the Court.</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A judge assigned to a Division shall serve for the full term of their appointment unless reassigned by the President for compelling reasons of judicial administration.</w:t>
      </w:r>
    </w:p>
    <w:p>
      <w:pPr>
        <w:spacing w:after="60" w:before="220"/>
      </w:pPr>
      <w:r>
        <w:rPr>
          <w:rFonts w:ascii="Arial" w:cs="Arial" w:eastAsia="Arial" w:hAnsi="Arial"/>
          <w:b/>
          <w:bCs/>
          <w:color w:val="1B3A6B"/>
          <w:sz w:val="22"/>
          <w:szCs w:val="22"/>
        </w:rPr>
        <w:t xml:space="preserve">Article 6</w:t>
      </w:r>
      <w:r>
        <w:rPr>
          <w:rFonts w:ascii="Arial" w:cs="Arial" w:eastAsia="Arial" w:hAnsi="Arial"/>
          <w:color w:val="666666"/>
          <w:sz w:val="22"/>
          <w:szCs w:val="22"/>
        </w:rPr>
        <w:t xml:space="preserve">  —  Independence of Judges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In performing their duties, the judges of the Court shall be independent. Judges shall not engage in any activity which is likely to interfere with their judicial functions or affect confidence in their independence.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No judge may participate in any case in which their impartiality might reasonably be doubted on any ground, including prior involvement with the case, prior association with any party, or any other ground. A judge shall be disqualified from a case in accordance with the rules of procedure of the relevant Division.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Judges shall not receive instructions from any government or from any other source external to the Court in relation to any matter before them.</w:t>
      </w:r>
    </w:p>
    <w:p>
      <w:pPr>
        <w:spacing w:after="60" w:before="220"/>
      </w:pPr>
      <w:r>
        <w:rPr>
          <w:rFonts w:ascii="Arial" w:cs="Arial" w:eastAsia="Arial" w:hAnsi="Arial"/>
          <w:b/>
          <w:bCs/>
          <w:color w:val="1B3A6B"/>
          <w:sz w:val="22"/>
          <w:szCs w:val="22"/>
        </w:rPr>
        <w:t xml:space="preserve">Article 7</w:t>
      </w:r>
      <w:r>
        <w:rPr>
          <w:rFonts w:ascii="Arial" w:cs="Arial" w:eastAsia="Arial" w:hAnsi="Arial"/>
          <w:color w:val="666666"/>
          <w:sz w:val="22"/>
          <w:szCs w:val="22"/>
        </w:rPr>
        <w:t xml:space="preserve">  —  Terms of Office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Judges shall be elected for a term of nine years and shall not be eligible for re-election. However, a judge who is elected to fill a vacancy of a judge whose term has not expired shall hold office for the remainder of that judge's term.</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Notwithstanding paragraph 1, a judge assigned to a case which has begun before the expiry of their term shall continue in office until the completion of that case.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Prosecutor and Deputy Prosecutors shall be elected for a term of nine years and shall not be eligible for re-election.</w:t>
      </w:r>
    </w:p>
    <w:p>
      <w:pPr>
        <w:spacing w:after="200" w:before="0"/>
      </w:pPr>
    </w:p>
    <w:p>
      <w:pPr>
        <w:spacing w:after="60" w:before="480"/>
        <w:jc w:val="center"/>
      </w:pPr>
      <w:r>
        <w:rPr>
          <w:rFonts w:ascii="Arial" w:cs="Arial" w:eastAsia="Arial" w:hAnsi="Arial"/>
          <w:b/>
          <w:bCs/>
          <w:caps/>
          <w:color w:val="1B3A6B"/>
          <w:sz w:val="28"/>
          <w:szCs w:val="28"/>
        </w:rPr>
        <w:t xml:space="preserve">PART 2 — DIVISION I: INTERNATIONAL CRIMINAL CHAMBER</w:t>
      </w:r>
    </w:p>
    <w:p>
      <w:pPr>
        <w:pBdr>
          <w:bottom w:val="single" w:color="1B3A6B" w:sz="6" w:space="1"/>
        </w:pBdr>
        <w:spacing w:after="60" w:before="40"/>
      </w:pPr>
    </w:p>
    <w:p>
      <w:pPr>
        <w:spacing w:after="100" w:before="320"/>
        <w:jc w:val="center"/>
      </w:pPr>
      <w:r>
        <w:rPr>
          <w:rFonts w:ascii="Arial" w:cs="Arial" w:eastAsia="Arial" w:hAnsi="Arial"/>
          <w:b/>
          <w:bCs/>
          <w:caps/>
          <w:color w:val="C5922A"/>
          <w:sz w:val="23"/>
          <w:szCs w:val="23"/>
        </w:rPr>
        <w:t xml:space="preserve">Chapter 1 — Jurisdiction and Admissibility</w:t>
      </w:r>
    </w:p>
    <w:p>
      <w:pPr>
        <w:spacing w:after="60" w:before="220"/>
      </w:pPr>
      <w:r>
        <w:rPr>
          <w:rFonts w:ascii="Arial" w:cs="Arial" w:eastAsia="Arial" w:hAnsi="Arial"/>
          <w:b/>
          <w:bCs/>
          <w:color w:val="1B3A6B"/>
          <w:sz w:val="22"/>
          <w:szCs w:val="22"/>
        </w:rPr>
        <w:t xml:space="preserve">Article 8</w:t>
      </w:r>
      <w:r>
        <w:rPr>
          <w:rFonts w:ascii="Arial" w:cs="Arial" w:eastAsia="Arial" w:hAnsi="Arial"/>
          <w:color w:val="666666"/>
          <w:sz w:val="22"/>
          <w:szCs w:val="22"/>
        </w:rPr>
        <w:t xml:space="preserve">  —  Subject-Matter Jurisdiction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International Criminal Chamber shall have jurisdiction over the following crimes:</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Genocide;</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Crimes against humanity;</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War crimes;</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The crime of aggression.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Chamber shall have jurisdiction only with respect to the most serious crimes of concern to the international community as a whole. The Chamber shall apply and interpret the definitions in Articles 9 through 12 consistently with established principles of international criminal law.</w:t>
      </w:r>
    </w:p>
    <w:p>
      <w:pPr>
        <w:spacing w:after="60" w:before="220"/>
      </w:pPr>
      <w:r>
        <w:rPr>
          <w:rFonts w:ascii="Arial" w:cs="Arial" w:eastAsia="Arial" w:hAnsi="Arial"/>
          <w:b/>
          <w:bCs/>
          <w:color w:val="1B3A6B"/>
          <w:sz w:val="22"/>
          <w:szCs w:val="22"/>
        </w:rPr>
        <w:t xml:space="preserve">Article 9</w:t>
      </w:r>
      <w:r>
        <w:rPr>
          <w:rFonts w:ascii="Arial" w:cs="Arial" w:eastAsia="Arial" w:hAnsi="Arial"/>
          <w:color w:val="666666"/>
          <w:sz w:val="22"/>
          <w:szCs w:val="22"/>
        </w:rPr>
        <w:t xml:space="preserve">  —  Genocide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For the purpose of this Statute, genocide means any of the following acts committed with intent to destroy, in whole or in part, a national, ethnic, racial, or religious group:</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Killing members of the group;</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Causing serious bodily or mental harm to members of the group;</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Deliberately inflicting on the group conditions of life calculated to bring about its physical destruction in whole or in part;</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Imposing measures intended to prevent births within the group;</w:t>
      </w:r>
    </w:p>
    <w:p>
      <w:pPr>
        <w:spacing w:after="40" w:before="40" w:line="276"/>
        <w:ind w:left="1080" w:hanging="360"/>
        <w:jc w:val="both"/>
      </w:pPr>
      <w:r>
        <w:rPr>
          <w:rFonts w:ascii="Garamond" w:cs="Garamond" w:eastAsia="Garamond" w:hAnsi="Garamond"/>
          <w:b/>
          <w:bCs/>
          <w:color w:val="333333"/>
          <w:sz w:val="22"/>
          <w:szCs w:val="22"/>
        </w:rPr>
        <w:t xml:space="preserve">(e)  </w:t>
      </w:r>
      <w:r>
        <w:rPr>
          <w:rFonts w:ascii="Garamond" w:cs="Garamond" w:eastAsia="Garamond" w:hAnsi="Garamond"/>
          <w:color w:val="333333"/>
          <w:sz w:val="22"/>
          <w:szCs w:val="22"/>
        </w:rPr>
        <w:t xml:space="preserve">Forcibly transferring children of the group to another group.</w:t>
      </w:r>
    </w:p>
    <w:p>
      <w:pPr>
        <w:spacing w:after="60" w:before="220"/>
      </w:pPr>
      <w:r>
        <w:rPr>
          <w:rFonts w:ascii="Arial" w:cs="Arial" w:eastAsia="Arial" w:hAnsi="Arial"/>
          <w:b/>
          <w:bCs/>
          <w:color w:val="1B3A6B"/>
          <w:sz w:val="22"/>
          <w:szCs w:val="22"/>
        </w:rPr>
        <w:t xml:space="preserve">Article 10</w:t>
      </w:r>
      <w:r>
        <w:rPr>
          <w:rFonts w:ascii="Arial" w:cs="Arial" w:eastAsia="Arial" w:hAnsi="Arial"/>
          <w:color w:val="666666"/>
          <w:sz w:val="22"/>
          <w:szCs w:val="22"/>
        </w:rPr>
        <w:t xml:space="preserve">  —  Crimes Against Humanity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For the purpose of this Statute, a crime against humanity means any of the following acts when committed as part of a widespread or systematic attack directed against any civilian population, with knowledge of the attack:</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Murder;</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Extermination;</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Enslavement;</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Deportation or forcible transfer of population, meaning forced displacement of persons by expulsion or other coercive acts from the area in which they are lawfully present, without grounds permitted under international law;</w:t>
      </w:r>
    </w:p>
    <w:p>
      <w:pPr>
        <w:spacing w:after="40" w:before="40" w:line="276"/>
        <w:ind w:left="1080" w:hanging="360"/>
        <w:jc w:val="both"/>
      </w:pPr>
      <w:r>
        <w:rPr>
          <w:rFonts w:ascii="Garamond" w:cs="Garamond" w:eastAsia="Garamond" w:hAnsi="Garamond"/>
          <w:b/>
          <w:bCs/>
          <w:color w:val="333333"/>
          <w:sz w:val="22"/>
          <w:szCs w:val="22"/>
        </w:rPr>
        <w:t xml:space="preserve">(e)  </w:t>
      </w:r>
      <w:r>
        <w:rPr>
          <w:rFonts w:ascii="Garamond" w:cs="Garamond" w:eastAsia="Garamond" w:hAnsi="Garamond"/>
          <w:color w:val="333333"/>
          <w:sz w:val="22"/>
          <w:szCs w:val="22"/>
        </w:rPr>
        <w:t xml:space="preserve">Imprisonment or other severe deprivation of physical liberty in violation of fundamental rules of international law;</w:t>
      </w:r>
    </w:p>
    <w:p>
      <w:pPr>
        <w:spacing w:after="40" w:before="40" w:line="276"/>
        <w:ind w:left="1080" w:hanging="360"/>
        <w:jc w:val="both"/>
      </w:pPr>
      <w:r>
        <w:rPr>
          <w:rFonts w:ascii="Garamond" w:cs="Garamond" w:eastAsia="Garamond" w:hAnsi="Garamond"/>
          <w:b/>
          <w:bCs/>
          <w:color w:val="333333"/>
          <w:sz w:val="22"/>
          <w:szCs w:val="22"/>
        </w:rPr>
        <w:t xml:space="preserve">(f)  </w:t>
      </w:r>
      <w:r>
        <w:rPr>
          <w:rFonts w:ascii="Garamond" w:cs="Garamond" w:eastAsia="Garamond" w:hAnsi="Garamond"/>
          <w:color w:val="333333"/>
          <w:sz w:val="22"/>
          <w:szCs w:val="22"/>
        </w:rPr>
        <w:t xml:space="preserve">Torture;</w:t>
      </w:r>
    </w:p>
    <w:p>
      <w:pPr>
        <w:spacing w:after="40" w:before="40" w:line="276"/>
        <w:ind w:left="1080" w:hanging="360"/>
        <w:jc w:val="both"/>
      </w:pPr>
      <w:r>
        <w:rPr>
          <w:rFonts w:ascii="Garamond" w:cs="Garamond" w:eastAsia="Garamond" w:hAnsi="Garamond"/>
          <w:b/>
          <w:bCs/>
          <w:color w:val="333333"/>
          <w:sz w:val="22"/>
          <w:szCs w:val="22"/>
        </w:rPr>
        <w:t xml:space="preserve">(g)  </w:t>
      </w:r>
      <w:r>
        <w:rPr>
          <w:rFonts w:ascii="Garamond" w:cs="Garamond" w:eastAsia="Garamond" w:hAnsi="Garamond"/>
          <w:color w:val="333333"/>
          <w:sz w:val="22"/>
          <w:szCs w:val="22"/>
        </w:rPr>
        <w:t xml:space="preserve">Rape or other acts of comparable gravity;</w:t>
      </w:r>
    </w:p>
    <w:p>
      <w:pPr>
        <w:spacing w:after="40" w:before="40" w:line="276"/>
        <w:ind w:left="1080" w:hanging="360"/>
        <w:jc w:val="both"/>
      </w:pPr>
      <w:r>
        <w:rPr>
          <w:rFonts w:ascii="Garamond" w:cs="Garamond" w:eastAsia="Garamond" w:hAnsi="Garamond"/>
          <w:b/>
          <w:bCs/>
          <w:color w:val="333333"/>
          <w:sz w:val="22"/>
          <w:szCs w:val="22"/>
        </w:rPr>
        <w:t xml:space="preserve">(h)  </w:t>
      </w:r>
      <w:r>
        <w:rPr>
          <w:rFonts w:ascii="Garamond" w:cs="Garamond" w:eastAsia="Garamond" w:hAnsi="Garamond"/>
          <w:color w:val="333333"/>
          <w:sz w:val="22"/>
          <w:szCs w:val="22"/>
        </w:rPr>
        <w:t xml:space="preserve">Persecution against any identifiable group or collectivity on political, racial, national, ethnic, cultural, religious, or gender grounds;</w:t>
      </w:r>
    </w:p>
    <w:p>
      <w:pPr>
        <w:spacing w:after="40" w:before="40" w:line="276"/>
        <w:ind w:left="1080" w:hanging="360"/>
        <w:jc w:val="both"/>
      </w:pPr>
      <w:r>
        <w:rPr>
          <w:rFonts w:ascii="Garamond" w:cs="Garamond" w:eastAsia="Garamond" w:hAnsi="Garamond"/>
          <w:b/>
          <w:bCs/>
          <w:color w:val="333333"/>
          <w:sz w:val="22"/>
          <w:szCs w:val="22"/>
        </w:rPr>
        <w:t xml:space="preserve">(i)  </w:t>
      </w:r>
      <w:r>
        <w:rPr>
          <w:rFonts w:ascii="Garamond" w:cs="Garamond" w:eastAsia="Garamond" w:hAnsi="Garamond"/>
          <w:color w:val="333333"/>
          <w:sz w:val="22"/>
          <w:szCs w:val="22"/>
        </w:rPr>
        <w:t xml:space="preserve">Enforced disappearance of persons;</w:t>
      </w:r>
    </w:p>
    <w:p>
      <w:pPr>
        <w:spacing w:after="40" w:before="40" w:line="276"/>
        <w:ind w:left="1080" w:hanging="360"/>
        <w:jc w:val="both"/>
      </w:pPr>
      <w:r>
        <w:rPr>
          <w:rFonts w:ascii="Garamond" w:cs="Garamond" w:eastAsia="Garamond" w:hAnsi="Garamond"/>
          <w:b/>
          <w:bCs/>
          <w:color w:val="333333"/>
          <w:sz w:val="22"/>
          <w:szCs w:val="22"/>
        </w:rPr>
        <w:t xml:space="preserve">(j)  </w:t>
      </w:r>
      <w:r>
        <w:rPr>
          <w:rFonts w:ascii="Garamond" w:cs="Garamond" w:eastAsia="Garamond" w:hAnsi="Garamond"/>
          <w:color w:val="333333"/>
          <w:sz w:val="22"/>
          <w:szCs w:val="22"/>
        </w:rPr>
        <w:t xml:space="preserve">Other inhumane acts of a similar character intentionally causing great suffering, or serious injury to body or to mental or physical health.</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For the purpose of paragraph 1, an attack directed against a civilian population means a course of conduct involving the multiple commission of acts referred to in paragraph 1 against any civilian population, pursuant to or in furtherance of a state or organizational policy to commit such attack.</w:t>
      </w:r>
    </w:p>
    <w:p>
      <w:pPr>
        <w:spacing w:after="60" w:before="40" w:line="260"/>
        <w:ind w:left="360"/>
        <w:jc w:val="both"/>
      </w:pPr>
      <w:r>
        <w:rPr>
          <w:rFonts w:ascii="Arial" w:cs="Arial" w:eastAsia="Arial" w:hAnsi="Arial"/>
          <w:i/>
          <w:iCs/>
          <w:color w:val="C5922A"/>
          <w:sz w:val="19"/>
          <w:szCs w:val="19"/>
        </w:rPr>
        <w:t xml:space="preserve">Cross-reference: Mir Convention on Fundamental Rights (MCFR) — Basic Liberties and Obligations of Member-States (BLOOM).</w:t>
      </w:r>
    </w:p>
    <w:p>
      <w:pPr>
        <w:spacing w:after="60" w:before="220"/>
      </w:pPr>
      <w:r>
        <w:rPr>
          <w:rFonts w:ascii="Arial" w:cs="Arial" w:eastAsia="Arial" w:hAnsi="Arial"/>
          <w:b/>
          <w:bCs/>
          <w:color w:val="1B3A6B"/>
          <w:sz w:val="22"/>
          <w:szCs w:val="22"/>
        </w:rPr>
        <w:t xml:space="preserve">Article 11</w:t>
      </w:r>
      <w:r>
        <w:rPr>
          <w:rFonts w:ascii="Arial" w:cs="Arial" w:eastAsia="Arial" w:hAnsi="Arial"/>
          <w:color w:val="666666"/>
          <w:sz w:val="22"/>
          <w:szCs w:val="22"/>
        </w:rPr>
        <w:t xml:space="preserve">  —  War Crimes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For the purpose of this Statute, war crimes means serious violations of the Mir Standards on Warfare, Operations, and Rights of the Detained (SWORD) and of the customary international law of armed conflict applicable in Mir. War crimes include in particular the following categories of acts:</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Grave breaches of the SWORD as enumerated in Article 26 of that instrument, including wilful killing, torture, inhumane treatment, extensive destruction of property not justified by military necessity, wilful deprivation of fair trial rights, and unlawful deportation or forcible transfer of civilians;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The use of weapons, projectiles, or methods of warfare that are prohibited under the Mir Comprehensive Weapons Convention (MCWC) or that are by their nature indiscriminate or cause superfluous injury or unnecessary suffering as defined in Articles 20 and 21 of the SWORD;</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Intentionally directing attacks against the civilian population or individual civilians not taking direct part in hostilities, as prohibited by Article 12 of the SWORD;</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Launching an attack in the knowledge that it will cause incidental civilian casualties or damage to civilian objects that are clearly excessive in relation to the concrete and direct overall military advantage anticipated, as prohibited by Article 17 of the SWORD;</w:t>
      </w:r>
    </w:p>
    <w:p>
      <w:pPr>
        <w:spacing w:after="40" w:before="40" w:line="276"/>
        <w:ind w:left="1080" w:hanging="360"/>
        <w:jc w:val="both"/>
      </w:pPr>
      <w:r>
        <w:rPr>
          <w:rFonts w:ascii="Garamond" w:cs="Garamond" w:eastAsia="Garamond" w:hAnsi="Garamond"/>
          <w:b/>
          <w:bCs/>
          <w:color w:val="333333"/>
          <w:sz w:val="22"/>
          <w:szCs w:val="22"/>
        </w:rPr>
        <w:t xml:space="preserve">(e)  </w:t>
      </w:r>
      <w:r>
        <w:rPr>
          <w:rFonts w:ascii="Garamond" w:cs="Garamond" w:eastAsia="Garamond" w:hAnsi="Garamond"/>
          <w:color w:val="333333"/>
          <w:sz w:val="22"/>
          <w:szCs w:val="22"/>
        </w:rPr>
        <w:t xml:space="preserve">Employing methods or means of warfare that cause widespread, long-term, and severe damage to the natural environment, as prohibited by Article 22 of the SWORD;</w:t>
      </w:r>
    </w:p>
    <w:p>
      <w:pPr>
        <w:spacing w:after="40" w:before="40" w:line="276"/>
        <w:ind w:left="1080" w:hanging="360"/>
        <w:jc w:val="both"/>
      </w:pPr>
      <w:r>
        <w:rPr>
          <w:rFonts w:ascii="Garamond" w:cs="Garamond" w:eastAsia="Garamond" w:hAnsi="Garamond"/>
          <w:b/>
          <w:bCs/>
          <w:color w:val="333333"/>
          <w:sz w:val="22"/>
          <w:szCs w:val="22"/>
        </w:rPr>
        <w:t xml:space="preserve">(f)  </w:t>
      </w:r>
      <w:r>
        <w:rPr>
          <w:rFonts w:ascii="Garamond" w:cs="Garamond" w:eastAsia="Garamond" w:hAnsi="Garamond"/>
          <w:color w:val="333333"/>
          <w:sz w:val="22"/>
          <w:szCs w:val="22"/>
        </w:rPr>
        <w:t xml:space="preserve">Attacking objects indispensable to the survival of the civilian population as prohibited by Article 19 of the SWORD;</w:t>
      </w:r>
    </w:p>
    <w:p>
      <w:pPr>
        <w:spacing w:after="40" w:before="40" w:line="276"/>
        <w:ind w:left="1080" w:hanging="360"/>
        <w:jc w:val="both"/>
      </w:pPr>
      <w:r>
        <w:rPr>
          <w:rFonts w:ascii="Garamond" w:cs="Garamond" w:eastAsia="Garamond" w:hAnsi="Garamond"/>
          <w:b/>
          <w:bCs/>
          <w:color w:val="333333"/>
          <w:sz w:val="22"/>
          <w:szCs w:val="22"/>
        </w:rPr>
        <w:t xml:space="preserve">(g)  </w:t>
      </w:r>
      <w:r>
        <w:rPr>
          <w:rFonts w:ascii="Garamond" w:cs="Garamond" w:eastAsia="Garamond" w:hAnsi="Garamond"/>
          <w:color w:val="333333"/>
          <w:sz w:val="22"/>
          <w:szCs w:val="22"/>
        </w:rPr>
        <w:t xml:space="preserve">Committing outrages upon personal dignity or subjecting persons to humiliating and degrading treatment as prohibited by Article 9 of the SWORD.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definitions and standards applicable to each category of war crime in paragraph 1 shall be interpreted consistently with the SWORD and the customary international law of armed conflict. In the event of any inconsistency, the standard most protective of the victims shall apply.</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Chamber shall have jurisdiction over war crimes committed in both international and non-international armed conflicts, subject to the jurisdictional requirements of Articles 13 and 14.</w:t>
      </w:r>
    </w:p>
    <w:p>
      <w:pPr>
        <w:spacing w:after="60" w:before="40" w:line="260"/>
        <w:ind w:left="360"/>
        <w:jc w:val="both"/>
      </w:pPr>
      <w:r>
        <w:rPr>
          <w:rFonts w:ascii="Arial" w:cs="Arial" w:eastAsia="Arial" w:hAnsi="Arial"/>
          <w:i/>
          <w:iCs/>
          <w:color w:val="C5922A"/>
          <w:sz w:val="19"/>
          <w:szCs w:val="19"/>
        </w:rPr>
        <w:t xml:space="preserve">Cross-reference: SWORD (Vagene Conventions) Articles 12, 17, 19, 20, 21, 22, 26.</w:t>
      </w:r>
    </w:p>
    <w:p>
      <w:pPr>
        <w:spacing w:after="60" w:before="40" w:line="260"/>
        <w:ind w:left="360"/>
        <w:jc w:val="both"/>
      </w:pPr>
      <w:r>
        <w:rPr>
          <w:rFonts w:ascii="Arial" w:cs="Arial" w:eastAsia="Arial" w:hAnsi="Arial"/>
          <w:i/>
          <w:iCs/>
          <w:color w:val="C5922A"/>
          <w:sz w:val="19"/>
          <w:szCs w:val="19"/>
        </w:rPr>
        <w:t xml:space="preserve">Cross-reference: Mir Comprehensive Weapons Convention (MCWC).</w:t>
      </w:r>
    </w:p>
    <w:p>
      <w:pPr>
        <w:spacing w:after="60" w:before="40" w:line="260"/>
        <w:ind w:left="360"/>
        <w:jc w:val="both"/>
      </w:pPr>
      <w:r>
        <w:rPr>
          <w:rFonts w:ascii="Arial" w:cs="Arial" w:eastAsia="Arial" w:hAnsi="Arial"/>
          <w:i/>
          <w:iCs/>
          <w:color w:val="C5922A"/>
          <w:sz w:val="19"/>
          <w:szCs w:val="19"/>
        </w:rPr>
        <w:t xml:space="preserve">Cross-reference: Mir Guidelines on the Legality of Weapons (GLOW).</w:t>
      </w:r>
    </w:p>
    <w:p>
      <w:pPr>
        <w:spacing w:after="60" w:before="220"/>
      </w:pPr>
      <w:r>
        <w:rPr>
          <w:rFonts w:ascii="Arial" w:cs="Arial" w:eastAsia="Arial" w:hAnsi="Arial"/>
          <w:b/>
          <w:bCs/>
          <w:color w:val="1B3A6B"/>
          <w:sz w:val="22"/>
          <w:szCs w:val="22"/>
        </w:rPr>
        <w:t xml:space="preserve">Article 12</w:t>
      </w:r>
      <w:r>
        <w:rPr>
          <w:rFonts w:ascii="Arial" w:cs="Arial" w:eastAsia="Arial" w:hAnsi="Arial"/>
          <w:color w:val="666666"/>
          <w:sz w:val="22"/>
          <w:szCs w:val="22"/>
        </w:rPr>
        <w:t xml:space="preserve">  —  Crime of Aggression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For the purpose of this Statute, the crime of aggression means the planning, preparation, initiation, or execution, by a person in a position effectively to exercise control over or to direct the political or military action of a state, of an act of aggression which, by its character, gravity, and scale, constitutes a manifest violation of the Charter of the United Mirians.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An act of aggression shall have the meaning set out in Article 21 of the Charter of the United Mirians.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Chamber shall have jurisdiction over the crime of aggression only where the act of aggression has been referred to the Prosecutor by the United Mirians General Assembly, or where the state of the alleged perpetrator has accepted the jurisdiction of the Chamber with respect to this crime.</w:t>
      </w:r>
    </w:p>
    <w:p>
      <w:pPr>
        <w:spacing w:after="60" w:before="40" w:line="260"/>
        <w:ind w:left="360"/>
        <w:jc w:val="both"/>
      </w:pPr>
      <w:r>
        <w:rPr>
          <w:rFonts w:ascii="Arial" w:cs="Arial" w:eastAsia="Arial" w:hAnsi="Arial"/>
          <w:i/>
          <w:iCs/>
          <w:color w:val="C5922A"/>
          <w:sz w:val="19"/>
          <w:szCs w:val="19"/>
        </w:rPr>
        <w:t xml:space="preserve">Cross-reference: UM Charter Articles 20 and 21 — for the definition of aggression and the self-defence exception.</w:t>
      </w:r>
    </w:p>
    <w:p>
      <w:pPr>
        <w:spacing w:after="100" w:before="320"/>
        <w:jc w:val="center"/>
      </w:pPr>
      <w:r>
        <w:rPr>
          <w:rFonts w:ascii="Arial" w:cs="Arial" w:eastAsia="Arial" w:hAnsi="Arial"/>
          <w:b/>
          <w:bCs/>
          <w:caps/>
          <w:color w:val="C5922A"/>
          <w:sz w:val="23"/>
          <w:szCs w:val="23"/>
        </w:rPr>
        <w:t xml:space="preserve">Chapter 2 — Admissibility and Complementarity</w:t>
      </w:r>
    </w:p>
    <w:p>
      <w:pPr>
        <w:spacing w:after="60" w:before="220"/>
      </w:pPr>
      <w:r>
        <w:rPr>
          <w:rFonts w:ascii="Arial" w:cs="Arial" w:eastAsia="Arial" w:hAnsi="Arial"/>
          <w:b/>
          <w:bCs/>
          <w:color w:val="1B3A6B"/>
          <w:sz w:val="22"/>
          <w:szCs w:val="22"/>
        </w:rPr>
        <w:t xml:space="preserve">Article 13</w:t>
      </w:r>
      <w:r>
        <w:rPr>
          <w:rFonts w:ascii="Arial" w:cs="Arial" w:eastAsia="Arial" w:hAnsi="Arial"/>
          <w:color w:val="666666"/>
          <w:sz w:val="22"/>
          <w:szCs w:val="22"/>
        </w:rPr>
        <w:t xml:space="preserve">  —  Jurisdictional Requirements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Chamber may exercise jurisdiction over crimes under Article 8 where one or more of the following conditions is satisfied:</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The state on the territory of which the conduct in question occurred is a State Party to this Statute;</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The state of which the person accused of the crime is a national is a State Party to this Statute;</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The situation has been referred to the Prosecutor by the United Mirians General Assembly;</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The state concerned has accepted the jurisdiction of the Chamber by lodging a declaration with the Registrar.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Chamber shall have no jurisdiction over crimes committed before the entry into force of this Statute. Where a state becomes a party after entry into force, the Chamber may exercise jurisdiction only with respect to crimes committed after that date, unless the state has made a declaration accepting jurisdiction from an earlier date.</w:t>
      </w:r>
    </w:p>
    <w:p>
      <w:pPr>
        <w:spacing w:after="60" w:before="220"/>
      </w:pPr>
      <w:r>
        <w:rPr>
          <w:rFonts w:ascii="Arial" w:cs="Arial" w:eastAsia="Arial" w:hAnsi="Arial"/>
          <w:b/>
          <w:bCs/>
          <w:color w:val="1B3A6B"/>
          <w:sz w:val="22"/>
          <w:szCs w:val="22"/>
        </w:rPr>
        <w:t xml:space="preserve">Article 14</w:t>
      </w:r>
      <w:r>
        <w:rPr>
          <w:rFonts w:ascii="Arial" w:cs="Arial" w:eastAsia="Arial" w:hAnsi="Arial"/>
          <w:color w:val="666666"/>
          <w:sz w:val="22"/>
          <w:szCs w:val="22"/>
        </w:rPr>
        <w:t xml:space="preserve">  —  Admissibility and Complementarity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Chamber shall determine that a case is inadmissible where:</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The case is being investigated or prosecuted by a state which has jurisdiction over it, unless the state is unwilling or unable genuinely to carry out the investigation or prosecution;</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The case has been investigated by a state which has jurisdiction over it and the state has decided not to prosecute the person concerned, unless the decision resulted from the unwillingness or inability of the state genuinely to prosecute;</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The person concerned has already been tried for conduct which is the subject of the complaint, and a trial by the Chamber is not permitted under Article 20 of this Statute;</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The case is not of sufficient gravity to justify further action by the Chamber.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In order to determine unwillingness in a particular case, the Chamber shall consider whether one or more of the following exist: proceedings were or are being undertaken for the purpose of shielding the person concerned from criminal responsibility; there has been an unjustified delay in the proceedings inconsistent with an intent to bring the person concerned to justice; or the proceedings were not or are not being conducted independently or impartially.</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In order to determine inability in a particular case, the Chamber shall consider whether, due to a total or substantial collapse or unavailability of its national judicial system, the state is unable to obtain the accused or the necessary evidence and testimony or is otherwise unable to carry out its proceedings.</w:t>
      </w:r>
    </w:p>
    <w:p>
      <w:pPr>
        <w:spacing w:after="60" w:before="220"/>
      </w:pPr>
      <w:r>
        <w:rPr>
          <w:rFonts w:ascii="Arial" w:cs="Arial" w:eastAsia="Arial" w:hAnsi="Arial"/>
          <w:b/>
          <w:bCs/>
          <w:color w:val="1B3A6B"/>
          <w:sz w:val="22"/>
          <w:szCs w:val="22"/>
        </w:rPr>
        <w:t xml:space="preserve">Article 15</w:t>
      </w:r>
      <w:r>
        <w:rPr>
          <w:rFonts w:ascii="Arial" w:cs="Arial" w:eastAsia="Arial" w:hAnsi="Arial"/>
          <w:color w:val="666666"/>
          <w:sz w:val="22"/>
          <w:szCs w:val="22"/>
        </w:rPr>
        <w:t xml:space="preserve">  —  Referral of Situations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State Party may refer to the Prosecutor a situation in which one or more crimes within the jurisdiction of the Chamber appear to have been committed, requesting the Prosecutor to investigate the situation for the purpose of determining whether one or more specific persons should be charged with the commission of such crimes.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United Mirians General Assembly may refer to the Prosecutor a situation in which one or more crimes within the jurisdiction of the Chamber appear to have been committed.</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Prosecutor may initiate investigations proprio motu on the basis of information on crimes within the jurisdiction of the Chamber received from states, organs of the United Mirians, or other reliable sources, subject to authorization by the Pre-Trial Chamber.</w:t>
      </w:r>
    </w:p>
    <w:p>
      <w:pPr>
        <w:spacing w:after="100" w:before="320"/>
        <w:jc w:val="center"/>
      </w:pPr>
      <w:r>
        <w:rPr>
          <w:rFonts w:ascii="Arial" w:cs="Arial" w:eastAsia="Arial" w:hAnsi="Arial"/>
          <w:b/>
          <w:bCs/>
          <w:caps/>
          <w:color w:val="C5922A"/>
          <w:sz w:val="23"/>
          <w:szCs w:val="23"/>
        </w:rPr>
        <w:t xml:space="preserve">Chapter 3 — The Office of the Prosecutor</w:t>
      </w:r>
    </w:p>
    <w:p>
      <w:pPr>
        <w:spacing w:after="60" w:before="220"/>
      </w:pPr>
      <w:r>
        <w:rPr>
          <w:rFonts w:ascii="Arial" w:cs="Arial" w:eastAsia="Arial" w:hAnsi="Arial"/>
          <w:b/>
          <w:bCs/>
          <w:color w:val="1B3A6B"/>
          <w:sz w:val="22"/>
          <w:szCs w:val="22"/>
        </w:rPr>
        <w:t xml:space="preserve">Article 16</w:t>
      </w:r>
      <w:r>
        <w:rPr>
          <w:rFonts w:ascii="Arial" w:cs="Arial" w:eastAsia="Arial" w:hAnsi="Arial"/>
          <w:color w:val="666666"/>
          <w:sz w:val="22"/>
          <w:szCs w:val="22"/>
        </w:rPr>
        <w:t xml:space="preserve">  —  The Office of the Prosecutor</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Office of the Prosecutor shall act independently as a separate organ of Division I. It shall be responsible for receiving referrals and substantiated information on crimes within the jurisdiction of the Chamber, for examining them, and for conducting investigations and prosecutions before the Chamber.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Prosecutor shall be assisted by one or more Deputy Prosecutors, who shall be competent to perform any of the acts required of the Prosecutor under this Statute. The Prosecutor and Deputy Prosecutors shall be of different nationalities.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Prosecutor shall have full authority over the management and administration of the Office, including the staff, facilities, and other resources thereof.</w:t>
      </w:r>
    </w:p>
    <w:p>
      <w:pPr>
        <w:spacing w:after="60" w:before="220"/>
      </w:pPr>
      <w:r>
        <w:rPr>
          <w:rFonts w:ascii="Arial" w:cs="Arial" w:eastAsia="Arial" w:hAnsi="Arial"/>
          <w:b/>
          <w:bCs/>
          <w:color w:val="1B3A6B"/>
          <w:sz w:val="22"/>
          <w:szCs w:val="22"/>
        </w:rPr>
        <w:t xml:space="preserve">Article 17</w:t>
      </w:r>
      <w:r>
        <w:rPr>
          <w:rFonts w:ascii="Arial" w:cs="Arial" w:eastAsia="Arial" w:hAnsi="Arial"/>
          <w:color w:val="666666"/>
          <w:sz w:val="22"/>
          <w:szCs w:val="22"/>
        </w:rPr>
        <w:t xml:space="preserve">  —  Duties and Powers of the Prosecutor</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Prosecutor shall, having evaluated the information made available, initiate an investigation unless the Prosecutor determines that there is no reasonable basis to proceed under this Statute.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In deciding whether to initiate an investigation, the Prosecutor shall consider whether the information available provides a reasonable basis to believe that a crime within the jurisdiction of the Chamber has been or is being committed; the case would be admissible under Article 14; and taking into account the gravity of the crime and the interests of victims, there are nonetheless substantial reasons to believe that an investigation would not serve the interests of justice.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Prosecutor may collect and examine evidence, request the presence of and question persons being investigated, victims, and witnesses, seek the cooperation of any state or international organization, and conclude such arrangements or agreements as may be necessary to facilitate the cooperation of states and individuals.</w:t>
      </w:r>
    </w:p>
    <w:p>
      <w:pPr>
        <w:spacing w:after="100" w:before="320"/>
        <w:jc w:val="center"/>
      </w:pPr>
      <w:r>
        <w:rPr>
          <w:rFonts w:ascii="Arial" w:cs="Arial" w:eastAsia="Arial" w:hAnsi="Arial"/>
          <w:b/>
          <w:bCs/>
          <w:caps/>
          <w:color w:val="C5922A"/>
          <w:sz w:val="23"/>
          <w:szCs w:val="23"/>
        </w:rPr>
        <w:t xml:space="preserve">Chapter 4 — Pre-Trial Proceedings</w:t>
      </w:r>
    </w:p>
    <w:p>
      <w:pPr>
        <w:spacing w:after="60" w:before="220"/>
      </w:pPr>
      <w:r>
        <w:rPr>
          <w:rFonts w:ascii="Arial" w:cs="Arial" w:eastAsia="Arial" w:hAnsi="Arial"/>
          <w:b/>
          <w:bCs/>
          <w:color w:val="1B3A6B"/>
          <w:sz w:val="22"/>
          <w:szCs w:val="22"/>
        </w:rPr>
        <w:t xml:space="preserve">Article 18</w:t>
      </w:r>
      <w:r>
        <w:rPr>
          <w:rFonts w:ascii="Arial" w:cs="Arial" w:eastAsia="Arial" w:hAnsi="Arial"/>
          <w:color w:val="666666"/>
          <w:sz w:val="22"/>
          <w:szCs w:val="22"/>
        </w:rPr>
        <w:t xml:space="preserve">  —  Pre-Trial Chamber</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Pre-Trial Chamber shall consist of not fewer than three judges of Division I. The functions of the Pre-Trial Chamber may be exercised by a single judge where the Statute so provides or where the Pre-Trial Chamber so authorizes.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Pre-Trial Chamber shall authorize the commencement of an investigation, issue warrants of arrest or summonses to appear, confirm charges, and perform such other functions as are assigned to it under this Statute.</w:t>
      </w:r>
    </w:p>
    <w:p>
      <w:pPr>
        <w:spacing w:after="60" w:before="220"/>
      </w:pPr>
      <w:r>
        <w:rPr>
          <w:rFonts w:ascii="Arial" w:cs="Arial" w:eastAsia="Arial" w:hAnsi="Arial"/>
          <w:b/>
          <w:bCs/>
          <w:color w:val="1B3A6B"/>
          <w:sz w:val="22"/>
          <w:szCs w:val="22"/>
        </w:rPr>
        <w:t xml:space="preserve">Article 19</w:t>
      </w:r>
      <w:r>
        <w:rPr>
          <w:rFonts w:ascii="Arial" w:cs="Arial" w:eastAsia="Arial" w:hAnsi="Arial"/>
          <w:color w:val="666666"/>
          <w:sz w:val="22"/>
          <w:szCs w:val="22"/>
        </w:rPr>
        <w:t xml:space="preserve">  —  Confirmation of Charges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Subject to the provisions of Article 18, within a reasonable time after the person's surrender or voluntary appearance before the Chamber, the Pre-Trial Chamber shall hold a hearing to confirm the charges on which the Prosecutor intends to seek trial.</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At the confirmation hearing, the Prosecutor shall support each charge with sufficient evidence to establish substantial grounds to believe that the person committed the crime charged.</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On the basis of the hearing, the Pre-Trial Chamber shall confirm those charges in relation to which it has determined that there is sufficient evidence, decline to confirm those charges in relation to which it has determined that there is insufficient evidence, and adjourn the hearing and request the Prosecutor to provide further evidence or to amend a charge where the evidence submitted appears to establish a different crime.</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The charges as confirmed by the Pre-Trial Chamber shall form the basis of the trial before the Trial Chamber. The confirmed charges may not be amended without the authorization of the Pre-Trial Chamber.</w:t>
      </w:r>
    </w:p>
    <w:p>
      <w:pPr>
        <w:spacing w:after="100" w:before="320"/>
        <w:jc w:val="center"/>
      </w:pPr>
      <w:r>
        <w:rPr>
          <w:rFonts w:ascii="Arial" w:cs="Arial" w:eastAsia="Arial" w:hAnsi="Arial"/>
          <w:b/>
          <w:bCs/>
          <w:caps/>
          <w:color w:val="C5922A"/>
          <w:sz w:val="23"/>
          <w:szCs w:val="23"/>
        </w:rPr>
        <w:t xml:space="preserve">Chapter 5 — Trial Proceedings</w:t>
      </w:r>
    </w:p>
    <w:p>
      <w:pPr>
        <w:spacing w:after="60" w:before="220"/>
      </w:pPr>
      <w:r>
        <w:rPr>
          <w:rFonts w:ascii="Arial" w:cs="Arial" w:eastAsia="Arial" w:hAnsi="Arial"/>
          <w:b/>
          <w:bCs/>
          <w:color w:val="1B3A6B"/>
          <w:sz w:val="22"/>
          <w:szCs w:val="22"/>
        </w:rPr>
        <w:t xml:space="preserve">Article 20</w:t>
      </w:r>
      <w:r>
        <w:rPr>
          <w:rFonts w:ascii="Arial" w:cs="Arial" w:eastAsia="Arial" w:hAnsi="Arial"/>
          <w:color w:val="666666"/>
          <w:sz w:val="22"/>
          <w:szCs w:val="22"/>
        </w:rPr>
        <w:t xml:space="preserve">  —  Functions and Powers of the Trial Chamber</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Trial Chamber shall ensure that a trial is fair and expeditious and is conducted with full respect for the rights of the accused and due regard for the protection of victims and witnesses.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At the commencement of the trial, the Trial Chamber shall have the charges read to the accused and satisfy itself that the accused understands the nature of the charges. The accused shall be afforded the opportunity to make admissions of guilt or to contest the charges.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Trial Chamber shall have authority to confer with the parties and take such action as is required to ensure the fair and expeditious conduct of the proceedings.</w:t>
      </w:r>
    </w:p>
    <w:p>
      <w:pPr>
        <w:spacing w:after="60" w:before="220"/>
      </w:pPr>
      <w:r>
        <w:rPr>
          <w:rFonts w:ascii="Arial" w:cs="Arial" w:eastAsia="Arial" w:hAnsi="Arial"/>
          <w:b/>
          <w:bCs/>
          <w:color w:val="1B3A6B"/>
          <w:sz w:val="22"/>
          <w:szCs w:val="22"/>
        </w:rPr>
        <w:t xml:space="preserve">Article 21</w:t>
      </w:r>
      <w:r>
        <w:rPr>
          <w:rFonts w:ascii="Arial" w:cs="Arial" w:eastAsia="Arial" w:hAnsi="Arial"/>
          <w:color w:val="666666"/>
          <w:sz w:val="22"/>
          <w:szCs w:val="22"/>
        </w:rPr>
        <w:t xml:space="preserve">  —  Rights of the Accused</w:t>
      </w:r>
    </w:p>
    <w:p>
      <w:pPr>
        <w:spacing w:after="60" w:before="60" w:line="276"/>
        <w:jc w:val="both"/>
      </w:pPr>
      <w:r>
        <w:rPr>
          <w:rFonts w:ascii="Garamond" w:cs="Garamond" w:eastAsia="Garamond" w:hAnsi="Garamond"/>
          <w:color w:val="333333"/>
          <w:sz w:val="22"/>
          <w:szCs w:val="22"/>
        </w:rPr>
        <w:t xml:space="preserve">In the determination of any charge, the accused shall be entitled to a public hearing, having regard to the provisions of this Statute, and to a fair hearing conducted impartially, and to the following minimum guarantees in full equality:</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To be informed promptly and in detail of the nature, cause, and content of the charge, in a language which the accused fully understands and speaks;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To have adequate time and facilities for the preparation of the defence and to communicate freely with counsel of the accused's choosing;</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To be tried without undue delay;</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To be present at the trial and to conduct the defence in person or through legal assistance of the accused's own choosing;</w:t>
      </w:r>
    </w:p>
    <w:p>
      <w:pPr>
        <w:spacing w:after="40" w:before="40" w:line="276"/>
        <w:ind w:left="1080" w:hanging="360"/>
        <w:jc w:val="both"/>
      </w:pPr>
      <w:r>
        <w:rPr>
          <w:rFonts w:ascii="Garamond" w:cs="Garamond" w:eastAsia="Garamond" w:hAnsi="Garamond"/>
          <w:b/>
          <w:bCs/>
          <w:color w:val="333333"/>
          <w:sz w:val="22"/>
          <w:szCs w:val="22"/>
        </w:rPr>
        <w:t xml:space="preserve">(e)  </w:t>
      </w:r>
      <w:r>
        <w:rPr>
          <w:rFonts w:ascii="Garamond" w:cs="Garamond" w:eastAsia="Garamond" w:hAnsi="Garamond"/>
          <w:color w:val="333333"/>
          <w:sz w:val="22"/>
          <w:szCs w:val="22"/>
        </w:rPr>
        <w:t xml:space="preserve">To examine or have examined the witnesses against the accused and to obtain the attendance and examination of witnesses on behalf of the accused under the same conditions as witnesses against the accused;</w:t>
      </w:r>
    </w:p>
    <w:p>
      <w:pPr>
        <w:spacing w:after="40" w:before="40" w:line="276"/>
        <w:ind w:left="1080" w:hanging="360"/>
        <w:jc w:val="both"/>
      </w:pPr>
      <w:r>
        <w:rPr>
          <w:rFonts w:ascii="Garamond" w:cs="Garamond" w:eastAsia="Garamond" w:hAnsi="Garamond"/>
          <w:b/>
          <w:bCs/>
          <w:color w:val="333333"/>
          <w:sz w:val="22"/>
          <w:szCs w:val="22"/>
        </w:rPr>
        <w:t xml:space="preserve">(f)  </w:t>
      </w:r>
      <w:r>
        <w:rPr>
          <w:rFonts w:ascii="Garamond" w:cs="Garamond" w:eastAsia="Garamond" w:hAnsi="Garamond"/>
          <w:color w:val="333333"/>
          <w:sz w:val="22"/>
          <w:szCs w:val="22"/>
        </w:rPr>
        <w:t xml:space="preserve">Not to be compelled to testify or to confess guilt and to remain silent, without such silence being a consideration in the determination of guilt or innocence;</w:t>
      </w:r>
    </w:p>
    <w:p>
      <w:pPr>
        <w:spacing w:after="40" w:before="40" w:line="276"/>
        <w:ind w:left="1080" w:hanging="360"/>
        <w:jc w:val="both"/>
      </w:pPr>
      <w:r>
        <w:rPr>
          <w:rFonts w:ascii="Garamond" w:cs="Garamond" w:eastAsia="Garamond" w:hAnsi="Garamond"/>
          <w:b/>
          <w:bCs/>
          <w:color w:val="333333"/>
          <w:sz w:val="22"/>
          <w:szCs w:val="22"/>
        </w:rPr>
        <w:t xml:space="preserve">(g)  </w:t>
      </w:r>
      <w:r>
        <w:rPr>
          <w:rFonts w:ascii="Garamond" w:cs="Garamond" w:eastAsia="Garamond" w:hAnsi="Garamond"/>
          <w:color w:val="333333"/>
          <w:sz w:val="22"/>
          <w:szCs w:val="22"/>
        </w:rPr>
        <w:t xml:space="preserve">Not to be subjected to any form of coercion, duress, or threat, or to torture or to any other form of cruel, inhuman, or degrading treatment or punishment.</w:t>
      </w:r>
    </w:p>
    <w:p>
      <w:pPr>
        <w:spacing w:after="60" w:before="220"/>
      </w:pPr>
      <w:r>
        <w:rPr>
          <w:rFonts w:ascii="Arial" w:cs="Arial" w:eastAsia="Arial" w:hAnsi="Arial"/>
          <w:b/>
          <w:bCs/>
          <w:color w:val="1B3A6B"/>
          <w:sz w:val="22"/>
          <w:szCs w:val="22"/>
        </w:rPr>
        <w:t xml:space="preserve">Article 22</w:t>
      </w:r>
      <w:r>
        <w:rPr>
          <w:rFonts w:ascii="Arial" w:cs="Arial" w:eastAsia="Arial" w:hAnsi="Arial"/>
          <w:color w:val="666666"/>
          <w:sz w:val="22"/>
          <w:szCs w:val="22"/>
        </w:rPr>
        <w:t xml:space="preserve">  —  Applicable Law</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Chamber shall apply:</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In the first place, this Statute, the Elements of Crimes and the Rules of Procedure and Evidence;</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In the second place, where appropriate, applicable treaties and the principles and rules of international law, including the established principles of the international law of armed conflict;</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Failing that, general principles of law derived by the Court from national laws of legal systems of the world including, as appropriate, the national laws of states that would normally exercise jurisdiction over the crime.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Chamber may apply principles and rules of law as interpreted in its previous decisions.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application and interpretation of law pursuant to this Article must be consistent with internationally recognized human rights.</w:t>
      </w:r>
    </w:p>
    <w:p>
      <w:pPr>
        <w:spacing w:after="60" w:before="220"/>
      </w:pPr>
      <w:r>
        <w:rPr>
          <w:rFonts w:ascii="Arial" w:cs="Arial" w:eastAsia="Arial" w:hAnsi="Arial"/>
          <w:b/>
          <w:bCs/>
          <w:color w:val="1B3A6B"/>
          <w:sz w:val="22"/>
          <w:szCs w:val="22"/>
        </w:rPr>
        <w:t xml:space="preserve">Article 23</w:t>
      </w:r>
      <w:r>
        <w:rPr>
          <w:rFonts w:ascii="Arial" w:cs="Arial" w:eastAsia="Arial" w:hAnsi="Arial"/>
          <w:color w:val="666666"/>
          <w:sz w:val="22"/>
          <w:szCs w:val="22"/>
        </w:rPr>
        <w:t xml:space="preserve">  —  Individual Criminal Responsibility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Chamber shall have jurisdiction over natural persons pursuant to this Statute. A person who commits a crime within the jurisdiction of the Chamber shall be individually responsible and liable for punishment in accordance with this Statute.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 person shall be criminally responsible and liable for punishment for a crime within the jurisdiction of the Chamber if that person:</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Commits such a crime, whether as an individual, jointly with another, or through another person regardless of whether that other person is criminally responsible;</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Orders, solicits, or induces the commission of such a crime which in fact occurs or is attempted;</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For the purpose of facilitating the commission of such a crime, aids, abets, or otherwise assists in its commission or its attempted commission, including providing the means for its commission;</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In any other way contributes to the commission or attempted commission of such a crime by a group of persons acting with a common purpose.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No provision in this Statute relating to individual criminal responsibility shall affect the responsibility of states under international law.</w:t>
      </w:r>
    </w:p>
    <w:p>
      <w:pPr>
        <w:spacing w:after="60" w:before="220"/>
      </w:pPr>
      <w:r>
        <w:rPr>
          <w:rFonts w:ascii="Arial" w:cs="Arial" w:eastAsia="Arial" w:hAnsi="Arial"/>
          <w:b/>
          <w:bCs/>
          <w:color w:val="1B3A6B"/>
          <w:sz w:val="22"/>
          <w:szCs w:val="22"/>
        </w:rPr>
        <w:t xml:space="preserve">Article 24</w:t>
      </w:r>
      <w:r>
        <w:rPr>
          <w:rFonts w:ascii="Arial" w:cs="Arial" w:eastAsia="Arial" w:hAnsi="Arial"/>
          <w:color w:val="666666"/>
          <w:sz w:val="22"/>
          <w:szCs w:val="22"/>
        </w:rPr>
        <w:t xml:space="preserve">  —  Command and Superior Responsibility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military commander or person effectively acting as a military commander shall be criminally responsible for crimes within the jurisdiction of the Chamber committed by forces under their effective command and control, or effective authority and control, as the case may be, as a result of their failure to exercise control properly over such forces, where:</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That military commander or person either knew or, owing to the circumstances at the time, should have known that the forces were committing or about to commit such crimes; and</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That military commander or person failed to take all necessary and reasonable measures within their power to prevent or repress their commission or to submit the matter to the competent authorities for investigation and prosecution.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With respect to superior and subordinate relationships not described in paragraph 1, a superior shall be criminally responsible for crimes within the jurisdiction of the Chamber committed by subordinates under their effective authority and control, as a result of their failure to exercise control properly over such subordinates, where:</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The superior either knew, or consciously disregarded information which clearly indicated, that the subordinates were committing or about to commit such crimes;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The crimes concerned activities that were within the effective responsibility and control of the superior; and</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The superior failed to take all necessary and reasonable measures within their power to prevent or repress their commission or to submit the matter to the competent authorities for investigation and prosecution.</w:t>
      </w:r>
    </w:p>
    <w:p>
      <w:pPr>
        <w:spacing w:after="60" w:before="40" w:line="260"/>
        <w:ind w:left="360"/>
        <w:jc w:val="both"/>
      </w:pPr>
      <w:r>
        <w:rPr>
          <w:rFonts w:ascii="Arial" w:cs="Arial" w:eastAsia="Arial" w:hAnsi="Arial"/>
          <w:i/>
          <w:iCs/>
          <w:color w:val="C5922A"/>
          <w:sz w:val="19"/>
          <w:szCs w:val="19"/>
        </w:rPr>
        <w:t xml:space="preserve">Cross-reference: SWORD Article 24 — Command Responsibility; Article 25 — Individual Responsibility.</w:t>
      </w:r>
    </w:p>
    <w:p>
      <w:pPr>
        <w:spacing w:after="60" w:before="220"/>
      </w:pPr>
      <w:r>
        <w:rPr>
          <w:rFonts w:ascii="Arial" w:cs="Arial" w:eastAsia="Arial" w:hAnsi="Arial"/>
          <w:b/>
          <w:bCs/>
          <w:color w:val="1B3A6B"/>
          <w:sz w:val="22"/>
          <w:szCs w:val="22"/>
        </w:rPr>
        <w:t xml:space="preserve">Article 25</w:t>
      </w:r>
      <w:r>
        <w:rPr>
          <w:rFonts w:ascii="Arial" w:cs="Arial" w:eastAsia="Arial" w:hAnsi="Arial"/>
          <w:color w:val="666666"/>
          <w:sz w:val="22"/>
          <w:szCs w:val="22"/>
        </w:rPr>
        <w:t xml:space="preserve">  —  Grounds for Excluding Criminal Responsibility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In addition to other grounds for excluding criminal responsibility provided for in this Statute, a person shall not be criminally responsible if at the time of that person's conduct the conduct constitutes a reasonable response to a threat of imminent death or serious injury to oneself or another person and the person acts necessarily and reasonably to avoid that threat.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following are not grounds for excluding criminal responsibility under this Statute:</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The fact that a person was ordered by a government or by a superior to commit an act, except where the person was under a legal obligation to obey orders of the government or superior in question, the person did not know that the order was unlawful, and the order was not manifestly unlawful;</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Orders to commit genocide or crimes against humanity are manifestly unlawful;</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A claim of military necessity, where the act alleged constitutes a crime as defined in this Statute regardless of military necessity.</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fact that a crime within the jurisdiction of the Chamber was committed in response to a claimed threat not yet materialized, or in anticipation of an attack not yet launched, does not in itself constitute a ground for excluding criminal responsibility. The Chamber shall evaluate such claims in light of the information available to the accused at the time and the requirements of proportionality and necessity under applicable law.</w:t>
      </w:r>
    </w:p>
    <w:p>
      <w:pPr>
        <w:spacing w:after="60" w:before="220"/>
      </w:pPr>
      <w:r>
        <w:rPr>
          <w:rFonts w:ascii="Arial" w:cs="Arial" w:eastAsia="Arial" w:hAnsi="Arial"/>
          <w:b/>
          <w:bCs/>
          <w:color w:val="1B3A6B"/>
          <w:sz w:val="22"/>
          <w:szCs w:val="22"/>
        </w:rPr>
        <w:t xml:space="preserve">Article 26</w:t>
      </w:r>
      <w:r>
        <w:rPr>
          <w:rFonts w:ascii="Arial" w:cs="Arial" w:eastAsia="Arial" w:hAnsi="Arial"/>
          <w:color w:val="666666"/>
          <w:sz w:val="22"/>
          <w:szCs w:val="22"/>
        </w:rPr>
        <w:t xml:space="preserve">  —  Ne Bis In Idem</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No person shall be tried before the Chamber with respect to conduct which formed the basis of crimes for which the person has been convicted or acquitted by the Chamber.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No person shall be tried by another court for a crime referred to in Article 8 for which that person has already been convicted or acquitted by the Chamber.</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Chamber shall not proceed with the trial of a person who has been tried by another court for conduct also prohibited under Articles 9 to 12, unless the proceedings in the other court were not conducted independently or impartially in accordance with the norms of due process recognized by international law or were conducted in a manner which, in the circumstances, was inconsistent with an intent to bring the person concerned to justice.</w:t>
      </w:r>
    </w:p>
    <w:p>
      <w:pPr>
        <w:spacing w:after="100" w:before="320"/>
        <w:jc w:val="center"/>
      </w:pPr>
      <w:r>
        <w:rPr>
          <w:rFonts w:ascii="Arial" w:cs="Arial" w:eastAsia="Arial" w:hAnsi="Arial"/>
          <w:b/>
          <w:bCs/>
          <w:caps/>
          <w:color w:val="C5922A"/>
          <w:sz w:val="23"/>
          <w:szCs w:val="23"/>
        </w:rPr>
        <w:t xml:space="preserve">Chapter 6 — Penalties and Reparations</w:t>
      </w:r>
    </w:p>
    <w:p>
      <w:pPr>
        <w:spacing w:after="60" w:before="220"/>
      </w:pPr>
      <w:r>
        <w:rPr>
          <w:rFonts w:ascii="Arial" w:cs="Arial" w:eastAsia="Arial" w:hAnsi="Arial"/>
          <w:b/>
          <w:bCs/>
          <w:color w:val="1B3A6B"/>
          <w:sz w:val="22"/>
          <w:szCs w:val="22"/>
        </w:rPr>
        <w:t xml:space="preserve">Article 27</w:t>
      </w:r>
      <w:r>
        <w:rPr>
          <w:rFonts w:ascii="Arial" w:cs="Arial" w:eastAsia="Arial" w:hAnsi="Arial"/>
          <w:color w:val="666666"/>
          <w:sz w:val="22"/>
          <w:szCs w:val="22"/>
        </w:rPr>
        <w:t xml:space="preserve">  —  Applicable Penalties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Subject to Article 28, the Chamber may impose one of the following penalties on a person convicted of a crime under this Statute:</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Imprisonment for a specified number of years, which may not exceed a maximum of thirty years; or</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A term of life imprisonment when justified by the extreme gravity of the crime and the individual circumstances of the convicted person.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In addition to imprisonment, the Chamber may order a fine, forfeiture of proceeds, property, and assets derived from the crime, without prejudice to the rights of bona fide third parties.</w:t>
      </w:r>
    </w:p>
    <w:p>
      <w:pPr>
        <w:spacing w:after="60" w:before="220"/>
      </w:pPr>
      <w:r>
        <w:rPr>
          <w:rFonts w:ascii="Arial" w:cs="Arial" w:eastAsia="Arial" w:hAnsi="Arial"/>
          <w:b/>
          <w:bCs/>
          <w:color w:val="1B3A6B"/>
          <w:sz w:val="22"/>
          <w:szCs w:val="22"/>
        </w:rPr>
        <w:t xml:space="preserve">Article 28</w:t>
      </w:r>
      <w:r>
        <w:rPr>
          <w:rFonts w:ascii="Arial" w:cs="Arial" w:eastAsia="Arial" w:hAnsi="Arial"/>
          <w:color w:val="666666"/>
          <w:sz w:val="22"/>
          <w:szCs w:val="22"/>
        </w:rPr>
        <w:t xml:space="preserve">  —  Reparations to Victims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Chamber shall establish principles relating to reparations to, or in respect of, victims, including restitution, compensation, and rehabilitation.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Chamber may, either upon request or on its own motion in exceptional circumstances, determine the scope and extent of any damage, loss, and injury to victims and will state the principles on which it is acting.</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Chamber may make an order directly against a convicted person specifying appropriate reparations to, or in respect of, victims, including restitution, compensation, and rehabilitation. The Chamber shall take appropriate measures to protect the safety, physical and psychological well-being, dignity, and privacy of victims.</w:t>
      </w:r>
    </w:p>
    <w:p>
      <w:pPr>
        <w:spacing w:after="200" w:before="0"/>
      </w:pPr>
    </w:p>
    <w:p>
      <w:pPr>
        <w:spacing w:after="60" w:before="480"/>
        <w:jc w:val="center"/>
      </w:pPr>
      <w:r>
        <w:rPr>
          <w:rFonts w:ascii="Arial" w:cs="Arial" w:eastAsia="Arial" w:hAnsi="Arial"/>
          <w:b/>
          <w:bCs/>
          <w:caps/>
          <w:color w:val="1B3A6B"/>
          <w:sz w:val="28"/>
          <w:szCs w:val="28"/>
        </w:rPr>
        <w:t xml:space="preserve">PART 3 — DIVISION II: INTER-STATE DISPUTES CHAMBER</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29</w:t>
      </w:r>
      <w:r>
        <w:rPr>
          <w:rFonts w:ascii="Arial" w:cs="Arial" w:eastAsia="Arial" w:hAnsi="Arial"/>
          <w:color w:val="666666"/>
          <w:sz w:val="22"/>
          <w:szCs w:val="22"/>
        </w:rPr>
        <w:t xml:space="preserve">  —  Jurisdiction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Inter-State Disputes Chamber shall have jurisdiction over all legal disputes between Member States of the United Mirians which the parties thereto refer to it, including disputes concerning:</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The interpretation or application of any treaty in force between the parties;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Any question of international law;</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The existence of any fact which, if established, would constitute a breach of an international obligation;</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The nature or extent of the reparation to be made for the breach of an international obligation;</w:t>
      </w:r>
    </w:p>
    <w:p>
      <w:pPr>
        <w:spacing w:after="40" w:before="40" w:line="276"/>
        <w:ind w:left="1080" w:hanging="360"/>
        <w:jc w:val="both"/>
      </w:pPr>
      <w:r>
        <w:rPr>
          <w:rFonts w:ascii="Garamond" w:cs="Garamond" w:eastAsia="Garamond" w:hAnsi="Garamond"/>
          <w:b/>
          <w:bCs/>
          <w:color w:val="333333"/>
          <w:sz w:val="22"/>
          <w:szCs w:val="22"/>
        </w:rPr>
        <w:t xml:space="preserve">(e)  </w:t>
      </w:r>
      <w:r>
        <w:rPr>
          <w:rFonts w:ascii="Garamond" w:cs="Garamond" w:eastAsia="Garamond" w:hAnsi="Garamond"/>
          <w:color w:val="333333"/>
          <w:sz w:val="22"/>
          <w:szCs w:val="22"/>
        </w:rPr>
        <w:t xml:space="preserve">Territorial sovereignty and boundary disputes between states.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jurisdiction of the Chamber in contentious cases is consent-based. States must expressly accept the jurisdiction of the Chamber by treaty, by special agreement, or by declaration filed with the Registrar.</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Chamber shall also have jurisdiction over disputes arising from the interpretation or application of a judgment previously rendered by the Chamber.</w:t>
      </w:r>
    </w:p>
    <w:p>
      <w:pPr>
        <w:spacing w:after="60" w:before="220"/>
      </w:pPr>
      <w:r>
        <w:rPr>
          <w:rFonts w:ascii="Arial" w:cs="Arial" w:eastAsia="Arial" w:hAnsi="Arial"/>
          <w:b/>
          <w:bCs/>
          <w:color w:val="1B3A6B"/>
          <w:sz w:val="22"/>
          <w:szCs w:val="22"/>
        </w:rPr>
        <w:t xml:space="preserve">Article 30</w:t>
      </w:r>
      <w:r>
        <w:rPr>
          <w:rFonts w:ascii="Arial" w:cs="Arial" w:eastAsia="Arial" w:hAnsi="Arial"/>
          <w:color w:val="666666"/>
          <w:sz w:val="22"/>
          <w:szCs w:val="22"/>
        </w:rPr>
        <w:t xml:space="preserve">  —  Procedure in Inter-State Cases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Cases shall be brought before the Chamber either by notification of a special agreement or by a written application addressed to the Registrar. The application shall indicate the subject of the dispute and the parties thereto.</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Chamber shall decide which of the parties shall act as applicant and which as respondent where this is not clear from the agreement or application.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Chamber shall be entitled to indicate, if it considers that circumstances so require, any provisional measures which ought to be taken to preserve the respective rights of either party, pending the final decision. These measures shall be binding upon the parties.</w:t>
      </w:r>
    </w:p>
    <w:p>
      <w:pPr>
        <w:spacing w:after="60" w:before="220"/>
      </w:pPr>
      <w:r>
        <w:rPr>
          <w:rFonts w:ascii="Arial" w:cs="Arial" w:eastAsia="Arial" w:hAnsi="Arial"/>
          <w:b/>
          <w:bCs/>
          <w:color w:val="1B3A6B"/>
          <w:sz w:val="22"/>
          <w:szCs w:val="22"/>
        </w:rPr>
        <w:t xml:space="preserve">Article 31</w:t>
      </w:r>
      <w:r>
        <w:rPr>
          <w:rFonts w:ascii="Arial" w:cs="Arial" w:eastAsia="Arial" w:hAnsi="Arial"/>
          <w:color w:val="666666"/>
          <w:sz w:val="22"/>
          <w:szCs w:val="22"/>
        </w:rPr>
        <w:t xml:space="preserve">  —  Judgment and Compliance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decision of the Chamber shall be final and without appeal, save as provided in Part 8 of this Statute in relation to the Grand Chamber.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decision of the Chamber is binding only between the parties and in respect of that particular case.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In the event of a dispute as to the meaning or scope of the decision, the Chamber shall construe it upon the request of any party.</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Member States of the United Mirians undertake to comply with the decisions of the Chamber in any case to which they are parties. Failure to comply may be referred to the United Mirians General Assembly for appropriate action.</w:t>
      </w:r>
    </w:p>
    <w:p>
      <w:pPr>
        <w:spacing w:after="200" w:before="0"/>
      </w:pPr>
    </w:p>
    <w:p>
      <w:pPr>
        <w:spacing w:after="60" w:before="480"/>
        <w:jc w:val="center"/>
      </w:pPr>
      <w:r>
        <w:rPr>
          <w:rFonts w:ascii="Arial" w:cs="Arial" w:eastAsia="Arial" w:hAnsi="Arial"/>
          <w:b/>
          <w:bCs/>
          <w:caps/>
          <w:color w:val="1B3A6B"/>
          <w:sz w:val="28"/>
          <w:szCs w:val="28"/>
        </w:rPr>
        <w:t xml:space="preserve">PART 4 — DIVISION III: MARITIME AND ENVIRONMENTAL CHAMBER</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32</w:t>
      </w:r>
      <w:r>
        <w:rPr>
          <w:rFonts w:ascii="Arial" w:cs="Arial" w:eastAsia="Arial" w:hAnsi="Arial"/>
          <w:color w:val="666666"/>
          <w:sz w:val="22"/>
          <w:szCs w:val="22"/>
        </w:rPr>
        <w:t xml:space="preserve">  —  Jurisdiction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Maritime and Environmental Chamber shall have jurisdiction over disputes concerning:</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The interpretation and application of the Mir Convention on the Law of the Sea (MCLS) and instruments made thereunder;</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The rights and obligations of states with respect to the exclusive economic zone, the continental shelf, the high seas, and the deep seabed Area;</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The activities of the International Seabed Authority of Mir (ISAM) and sponsored entities engaged in activities in the Area;</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The international law of environmental protection, including disputes concerning transboundary environmental harm, the precautionary principle, and environmental impact obligations;</w:t>
      </w:r>
    </w:p>
    <w:p>
      <w:pPr>
        <w:spacing w:after="40" w:before="40" w:line="276"/>
        <w:ind w:left="1080" w:hanging="360"/>
        <w:jc w:val="both"/>
      </w:pPr>
      <w:r>
        <w:rPr>
          <w:rFonts w:ascii="Garamond" w:cs="Garamond" w:eastAsia="Garamond" w:hAnsi="Garamond"/>
          <w:b/>
          <w:bCs/>
          <w:color w:val="333333"/>
          <w:sz w:val="22"/>
          <w:szCs w:val="22"/>
        </w:rPr>
        <w:t xml:space="preserve">(e)  </w:t>
      </w:r>
      <w:r>
        <w:rPr>
          <w:rFonts w:ascii="Garamond" w:cs="Garamond" w:eastAsia="Garamond" w:hAnsi="Garamond"/>
          <w:color w:val="333333"/>
          <w:sz w:val="22"/>
          <w:szCs w:val="22"/>
        </w:rPr>
        <w:t xml:space="preserve">Marine scientific research, fisheries, and the conservation of marine living resources.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Chamber shall include a Seabed Disputes Sub-Chamber with jurisdiction over disputes relating to activities in the Area as defined in the Mir Convention on the Law of the Sea, which may receive claims from states, the ISAM, and state-sponsored entities.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States may also submit disputes within the jurisdiction of this Chamber to binding arbitration under procedures established by the Court, in lieu of proceedings before the Chamber itself.</w:t>
      </w:r>
    </w:p>
    <w:p>
      <w:pPr>
        <w:spacing w:after="60" w:before="220"/>
      </w:pPr>
      <w:r>
        <w:rPr>
          <w:rFonts w:ascii="Arial" w:cs="Arial" w:eastAsia="Arial" w:hAnsi="Arial"/>
          <w:b/>
          <w:bCs/>
          <w:color w:val="1B3A6B"/>
          <w:sz w:val="22"/>
          <w:szCs w:val="22"/>
        </w:rPr>
        <w:t xml:space="preserve">Article 33</w:t>
      </w:r>
      <w:r>
        <w:rPr>
          <w:rFonts w:ascii="Arial" w:cs="Arial" w:eastAsia="Arial" w:hAnsi="Arial"/>
          <w:color w:val="666666"/>
          <w:sz w:val="22"/>
          <w:szCs w:val="22"/>
        </w:rPr>
        <w:t xml:space="preserve">  —  Provisional Measures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Chamber may prescribe any provisional measures which it considers appropriate under the circumstances to preserve the respective rights of the parties to the dispute or to prevent serious harm to the marine environment pending the final decision.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Provisional measures prescribed by the Chamber shall be binding upon the parties.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In cases of extreme urgency, a single judge of the Chamber designated by the President of the Court may prescribe provisional measures pending convening of the full Chamber.</w:t>
      </w:r>
    </w:p>
    <w:p>
      <w:pPr>
        <w:spacing w:after="200" w:before="0"/>
      </w:pPr>
    </w:p>
    <w:p>
      <w:pPr>
        <w:spacing w:after="60" w:before="480"/>
        <w:jc w:val="center"/>
      </w:pPr>
      <w:r>
        <w:rPr>
          <w:rFonts w:ascii="Arial" w:cs="Arial" w:eastAsia="Arial" w:hAnsi="Arial"/>
          <w:b/>
          <w:bCs/>
          <w:caps/>
          <w:color w:val="1B3A6B"/>
          <w:sz w:val="28"/>
          <w:szCs w:val="28"/>
        </w:rPr>
        <w:t xml:space="preserve">PART 5 — DIVISION IV: ADVISORY CHAMBER</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34</w:t>
      </w:r>
      <w:r>
        <w:rPr>
          <w:rFonts w:ascii="Arial" w:cs="Arial" w:eastAsia="Arial" w:hAnsi="Arial"/>
          <w:color w:val="666666"/>
          <w:sz w:val="22"/>
          <w:szCs w:val="22"/>
        </w:rPr>
        <w:t xml:space="preserve">  —  Advisory Jurisdiction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Advisory Chamber may give an advisory opinion on any legal question at the request of:</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The United Mirians General Assembly;</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Any principal organ of the United Mirians authorized by the General Assembly;</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Any Division of the High Court of Mir where a question of law arises on which guidance is sought.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Advisory opinions shall not be binding upon states or parties, but shall carry the authoritative weight of the Court's interpretation of international law and shall be taken into account by all Divisions of the Court and by Member States of the United Mirians in their legal practice.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Advisory Chamber shall be composed of the full bench of the Court or such judges as the President shall designate, provided that no fewer than five judges shall participate in any advisory opinion.</w:t>
      </w:r>
    </w:p>
    <w:p>
      <w:pPr>
        <w:spacing w:after="60" w:before="220"/>
      </w:pPr>
      <w:r>
        <w:rPr>
          <w:rFonts w:ascii="Arial" w:cs="Arial" w:eastAsia="Arial" w:hAnsi="Arial"/>
          <w:b/>
          <w:bCs/>
          <w:color w:val="1B3A6B"/>
          <w:sz w:val="22"/>
          <w:szCs w:val="22"/>
        </w:rPr>
        <w:t xml:space="preserve">Article 35</w:t>
      </w:r>
      <w:r>
        <w:rPr>
          <w:rFonts w:ascii="Arial" w:cs="Arial" w:eastAsia="Arial" w:hAnsi="Arial"/>
          <w:color w:val="666666"/>
          <w:sz w:val="22"/>
          <w:szCs w:val="22"/>
        </w:rPr>
        <w:t xml:space="preserve">  —  Procedure for Advisory Opinions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Requests for advisory opinions shall be transmitted to the Registrar in a written request containing an exact statement of the question upon which an opinion is required, and shall be accompanied by all documents likely to throw light upon the question.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Advisory Chamber shall afford all Member States and interested international organizations the opportunity to submit written statements and, where appropriate, oral statements on the question before the Chamber.</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Advisory opinions shall be delivered in open session and shall set out the legal reasoning of the Chamber. Individual judges may append separate or dissenting opinions.</w:t>
      </w:r>
    </w:p>
    <w:p>
      <w:pPr>
        <w:spacing w:after="60" w:before="40" w:line="260"/>
        <w:ind w:left="360"/>
        <w:jc w:val="both"/>
      </w:pPr>
      <w:r>
        <w:rPr>
          <w:rFonts w:ascii="Arial" w:cs="Arial" w:eastAsia="Arial" w:hAnsi="Arial"/>
          <w:i/>
          <w:iCs/>
          <w:color w:val="C5922A"/>
          <w:sz w:val="19"/>
          <w:szCs w:val="19"/>
        </w:rPr>
        <w:t xml:space="preserve">Cross-reference: Mir Guidelines on the Legality of Weapons (GLOW) — issued pursuant to a request by the UMGA under this Article.</w:t>
      </w:r>
    </w:p>
    <w:p>
      <w:pPr>
        <w:spacing w:after="200" w:before="0"/>
      </w:pPr>
    </w:p>
    <w:p>
      <w:pPr>
        <w:spacing w:after="60" w:before="480"/>
        <w:jc w:val="center"/>
      </w:pPr>
      <w:r>
        <w:rPr>
          <w:rFonts w:ascii="Arial" w:cs="Arial" w:eastAsia="Arial" w:hAnsi="Arial"/>
          <w:b/>
          <w:bCs/>
          <w:caps/>
          <w:color w:val="1B3A6B"/>
          <w:sz w:val="28"/>
          <w:szCs w:val="28"/>
        </w:rPr>
        <w:t xml:space="preserve">PART 6 — DIVISION V: HUMAN RIGHTS CHAMBER</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36</w:t>
      </w:r>
      <w:r>
        <w:rPr>
          <w:rFonts w:ascii="Arial" w:cs="Arial" w:eastAsia="Arial" w:hAnsi="Arial"/>
          <w:color w:val="666666"/>
          <w:sz w:val="22"/>
          <w:szCs w:val="22"/>
        </w:rPr>
        <w:t xml:space="preserve">  —  Jurisdiction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Human Rights Chamber shall have jurisdiction to receive and determine petitions from individuals, groups, or non-governmental organizations claiming to be victims of a violation of rights guaranteed under the Mir Convention on Fundamental Rights (MCFR) by a State Party.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Chamber shall not deal with a petition unless all available and effective domestic remedies have been exhausted, or the state concerned has failed to provide remedies consistent with the rights recognized in the MCFR.</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States may also refer to the Chamber any alleged breach of the MCFR by another State Party.</w:t>
      </w:r>
    </w:p>
    <w:p>
      <w:pPr>
        <w:spacing w:after="60" w:before="220"/>
      </w:pPr>
      <w:r>
        <w:rPr>
          <w:rFonts w:ascii="Arial" w:cs="Arial" w:eastAsia="Arial" w:hAnsi="Arial"/>
          <w:b/>
          <w:bCs/>
          <w:color w:val="1B3A6B"/>
          <w:sz w:val="22"/>
          <w:szCs w:val="22"/>
        </w:rPr>
        <w:t xml:space="preserve">Article 37</w:t>
      </w:r>
      <w:r>
        <w:rPr>
          <w:rFonts w:ascii="Arial" w:cs="Arial" w:eastAsia="Arial" w:hAnsi="Arial"/>
          <w:color w:val="666666"/>
          <w:sz w:val="22"/>
          <w:szCs w:val="22"/>
        </w:rPr>
        <w:t xml:space="preserve">  —  Admissibility</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Chamber shall declare a petition inadmissible where:</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It is anonymous or substantially the same as a matter that has already been examined by the Chamber or has already been submitted to another international investigation or settlement procedure;</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It is incompatible with the provisions of the MCFR, manifestly ill-founded, or an abuse of the right of petition;</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Domestic remedies have not been exhausted, except where the application of such remedies is unreasonably prolonged or unlikely to bring effective relief.</w:t>
      </w:r>
    </w:p>
    <w:p>
      <w:pPr>
        <w:spacing w:after="60" w:before="220"/>
      </w:pPr>
      <w:r>
        <w:rPr>
          <w:rFonts w:ascii="Arial" w:cs="Arial" w:eastAsia="Arial" w:hAnsi="Arial"/>
          <w:b/>
          <w:bCs/>
          <w:color w:val="1B3A6B"/>
          <w:sz w:val="22"/>
          <w:szCs w:val="22"/>
        </w:rPr>
        <w:t xml:space="preserve">Article 38</w:t>
      </w:r>
      <w:r>
        <w:rPr>
          <w:rFonts w:ascii="Arial" w:cs="Arial" w:eastAsia="Arial" w:hAnsi="Arial"/>
          <w:color w:val="666666"/>
          <w:sz w:val="22"/>
          <w:szCs w:val="22"/>
        </w:rPr>
        <w:t xml:space="preserve">  —  Judgments and Just Satisfaction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If the Chamber finds that there has been a violation of the MCFR, it shall make a declaration to that effect and may, where appropriate, afford the injured party just satisfaction.</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States Parties undertake to abide by the final judgments of the Chamber in any case to which they are parties.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Judgments of the Chamber shall be transmitted to the United Mirians General Assembly, which shall supervise their execution.</w:t>
      </w:r>
    </w:p>
    <w:p>
      <w:pPr>
        <w:spacing w:after="200" w:before="0"/>
      </w:pPr>
    </w:p>
    <w:p>
      <w:pPr>
        <w:spacing w:after="60" w:before="480"/>
        <w:jc w:val="center"/>
      </w:pPr>
      <w:r>
        <w:rPr>
          <w:rFonts w:ascii="Arial" w:cs="Arial" w:eastAsia="Arial" w:hAnsi="Arial"/>
          <w:b/>
          <w:bCs/>
          <w:caps/>
          <w:color w:val="1B3A6B"/>
          <w:sz w:val="28"/>
          <w:szCs w:val="28"/>
        </w:rPr>
        <w:t xml:space="preserve">PART 7 — DIVISION VI: TRADE AND INVESTMENT CHAMBER</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39</w:t>
      </w:r>
      <w:r>
        <w:rPr>
          <w:rFonts w:ascii="Arial" w:cs="Arial" w:eastAsia="Arial" w:hAnsi="Arial"/>
          <w:color w:val="666666"/>
          <w:sz w:val="22"/>
          <w:szCs w:val="22"/>
        </w:rPr>
        <w:t xml:space="preserve">  —  Jurisdiction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Trade and Investment Chamber shall have jurisdiction over:</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Disputes between Member States concerning the interpretation or application of international trade agreements and the obligations arising therefrom, including disputes concerning tariffs, non-tariff barriers, subsidies, trade remedies, and market access;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Disputes arising between a State Party and a foreign investor of another State Party concerning obligations undertaken with regard to investment, including claims of expropriation, breach of fair and equitable treatment, denial of justice, and non-discrimination;</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Disputes concerning the compatibility of domestic regulatory measures with international trade and investment obligations.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Chamber shall accept jurisdiction over investment disputes only where the relevant investment agreement provides for international arbitration before this Chamber, or where the parties have consented to its jurisdiction by special agreement.</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Chamber shall have regard to the right of states to regulate in the public interest, including for the purposes of environmental protection, public health, and national security, when determining whether a state measure constitutes a violation of investment obligations.</w:t>
      </w:r>
    </w:p>
    <w:p>
      <w:pPr>
        <w:spacing w:after="60" w:before="220"/>
      </w:pPr>
      <w:r>
        <w:rPr>
          <w:rFonts w:ascii="Arial" w:cs="Arial" w:eastAsia="Arial" w:hAnsi="Arial"/>
          <w:b/>
          <w:bCs/>
          <w:color w:val="1B3A6B"/>
          <w:sz w:val="22"/>
          <w:szCs w:val="22"/>
        </w:rPr>
        <w:t xml:space="preserve">Article 40</w:t>
      </w:r>
      <w:r>
        <w:rPr>
          <w:rFonts w:ascii="Arial" w:cs="Arial" w:eastAsia="Arial" w:hAnsi="Arial"/>
          <w:color w:val="666666"/>
          <w:sz w:val="22"/>
          <w:szCs w:val="22"/>
        </w:rPr>
        <w:t xml:space="preserve">  —  Arbitral Proceedings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Trade and Investment Chamber may sit as an arbitral tribunal where the parties have so agreed. In such cases, the Chamber shall apply the applicable treaty provisions, general international law, and such rules of procedure as the parties may agree or, failing agreement, as the Chamber may determine.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Awards of the Chamber sitting as an arbitral tribunal shall be final and binding upon the parties unless the parties have agreed otherwise. Awards may be appealed to the Grand Chamber only on grounds of fundamental procedural irregularity or manifest error of law.</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Chamber may award monetary compensation, restitution, or such other remedies as may be appropriate under the applicable law. The Chamber shall not order states to repeal or amend legislation but may declare legislative measures to be in breach of applicable obligations.</w:t>
      </w:r>
    </w:p>
    <w:p>
      <w:pPr>
        <w:spacing w:after="200" w:before="0"/>
      </w:pPr>
    </w:p>
    <w:p>
      <w:pPr>
        <w:spacing w:after="60" w:before="480"/>
        <w:jc w:val="center"/>
      </w:pPr>
      <w:r>
        <w:rPr>
          <w:rFonts w:ascii="Arial" w:cs="Arial" w:eastAsia="Arial" w:hAnsi="Arial"/>
          <w:b/>
          <w:bCs/>
          <w:caps/>
          <w:color w:val="1B3A6B"/>
          <w:sz w:val="28"/>
          <w:szCs w:val="28"/>
        </w:rPr>
        <w:t xml:space="preserve">PART 8 — THE GRAND CHAMBER</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41</w:t>
      </w:r>
      <w:r>
        <w:rPr>
          <w:rFonts w:ascii="Arial" w:cs="Arial" w:eastAsia="Arial" w:hAnsi="Arial"/>
          <w:color w:val="666666"/>
          <w:sz w:val="22"/>
          <w:szCs w:val="22"/>
        </w:rPr>
        <w:t xml:space="preserve">  —  Composition and Functions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Grand Chamber shall consist of all judges of the Court sitting together. It shall be presided over by the President of the Court.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Grand Chamber shall exercise the following jurisdiction:</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Appellate jurisdiction over judgments of any Division of the Court, on application by a party to the proceedings;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Original jurisdiction over questions of fundamental constitutional importance to the international legal order of Mir, including questions concerning the interpretation of the Charter of the United Mirians;</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Jurisdiction to resolve conflicts of jurisdiction or conflicts between decisions of different Divisions of the Court;</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Jurisdiction to determine whether a judgment of a Division should be revised in light of a fact which was unknown at the time of the judgment and which might have had a decisive influence on the outcome.</w:t>
      </w:r>
    </w:p>
    <w:p>
      <w:pPr>
        <w:spacing w:after="60" w:before="220"/>
      </w:pPr>
      <w:r>
        <w:rPr>
          <w:rFonts w:ascii="Arial" w:cs="Arial" w:eastAsia="Arial" w:hAnsi="Arial"/>
          <w:b/>
          <w:bCs/>
          <w:color w:val="1B3A6B"/>
          <w:sz w:val="22"/>
          <w:szCs w:val="22"/>
        </w:rPr>
        <w:t xml:space="preserve">Article 42</w:t>
      </w:r>
      <w:r>
        <w:rPr>
          <w:rFonts w:ascii="Arial" w:cs="Arial" w:eastAsia="Arial" w:hAnsi="Arial"/>
          <w:color w:val="666666"/>
          <w:sz w:val="22"/>
          <w:szCs w:val="22"/>
        </w:rPr>
        <w:t xml:space="preserve">  —  Grounds for Appeal</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party to proceedings before any Division of the Court may appeal to the Grand Chamber on the following grounds only:</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A procedural error which has materially affected the fairness or outcome of the proceedings;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An error of law;</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A manifest error in the assessment of the facts.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Appeals must be lodged within sixty days of the notification of the judgment of the Division. The Grand Chamber may, in exceptional circumstances, extend this period.</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Grand Chamber may confirm, reverse, or amend the decision of the Division. Where the Grand Chamber reverses a decision, it may either render a final judgment itself or remand the case to the Division for a new hearing.</w:t>
      </w:r>
    </w:p>
    <w:p>
      <w:pPr>
        <w:spacing w:after="60" w:before="220"/>
      </w:pPr>
      <w:r>
        <w:rPr>
          <w:rFonts w:ascii="Arial" w:cs="Arial" w:eastAsia="Arial" w:hAnsi="Arial"/>
          <w:b/>
          <w:bCs/>
          <w:color w:val="1B3A6B"/>
          <w:sz w:val="22"/>
          <w:szCs w:val="22"/>
        </w:rPr>
        <w:t xml:space="preserve">Article 43</w:t>
      </w:r>
      <w:r>
        <w:rPr>
          <w:rFonts w:ascii="Arial" w:cs="Arial" w:eastAsia="Arial" w:hAnsi="Arial"/>
          <w:color w:val="666666"/>
          <w:sz w:val="22"/>
          <w:szCs w:val="22"/>
        </w:rPr>
        <w:t xml:space="preserve">  —  Constitutional Reference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Any Division of the Court may refer a question of fundamental constitutional importance to the Grand Chamber where the Division considers that the answer to the question is necessary for the determination of the case before it and that the question raises an issue of interpretation of the Charter of the United Mirians or of the foundational principles of international law applicable in Mir.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United Mirians General Assembly may submit a constitutional question to the Grand Chamber for a binding interpretation, where the question concerns the scope of obligations under the Charter or the respective powers of organs of the United Mirians.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Judgments of the Grand Chamber on constitutional questions shall be binding upon all organs of the United Mirians and all Member States.</w:t>
      </w:r>
    </w:p>
    <w:p>
      <w:pPr>
        <w:spacing w:after="60" w:before="220"/>
      </w:pPr>
      <w:r>
        <w:rPr>
          <w:rFonts w:ascii="Arial" w:cs="Arial" w:eastAsia="Arial" w:hAnsi="Arial"/>
          <w:b/>
          <w:bCs/>
          <w:color w:val="1B3A6B"/>
          <w:sz w:val="22"/>
          <w:szCs w:val="22"/>
        </w:rPr>
        <w:t xml:space="preserve">Article 44</w:t>
      </w:r>
      <w:r>
        <w:rPr>
          <w:rFonts w:ascii="Arial" w:cs="Arial" w:eastAsia="Arial" w:hAnsi="Arial"/>
          <w:color w:val="666666"/>
          <w:sz w:val="22"/>
          <w:szCs w:val="22"/>
        </w:rPr>
        <w:t xml:space="preserve">  —  Revision of Judgments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An application for revision of a judgment may be made only when it is based upon the discovery of a fact which was unknown to the Court and to the party claiming revision at the time the judgment was given, provided that such ignorance was not due to negligence, and provided that the new fact is of such a nature as to be a decisive factor.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Applications for revision must be made within six months of the discovery of the new fact and in no event later than ten years from the date of the judgment.</w:t>
      </w:r>
    </w:p>
    <w:p>
      <w:pPr>
        <w:spacing w:after="200" w:before="0"/>
      </w:pPr>
    </w:p>
    <w:p>
      <w:pPr>
        <w:spacing w:after="60" w:before="480"/>
        <w:jc w:val="center"/>
      </w:pPr>
      <w:r>
        <w:rPr>
          <w:rFonts w:ascii="Arial" w:cs="Arial" w:eastAsia="Arial" w:hAnsi="Arial"/>
          <w:b/>
          <w:bCs/>
          <w:caps/>
          <w:color w:val="1B3A6B"/>
          <w:sz w:val="28"/>
          <w:szCs w:val="28"/>
        </w:rPr>
        <w:t xml:space="preserve">PART 9 — COOPERATION AND STATE OBLIGATIONS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45</w:t>
      </w:r>
      <w:r>
        <w:rPr>
          <w:rFonts w:ascii="Arial" w:cs="Arial" w:eastAsia="Arial" w:hAnsi="Arial"/>
          <w:color w:val="666666"/>
          <w:sz w:val="22"/>
          <w:szCs w:val="22"/>
        </w:rPr>
        <w:t xml:space="preserve">  —  General Obligation to Cooperate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States Parties shall cooperate fully with the Court in its investigation and prosecution of crimes within the jurisdiction of the Court. States Parties shall, in accordance with the provisions of this Statute, comply with requests by the Court to:</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Identify and locate persons and objects;</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Take evidence, including testimony under oath, and produce evidence, including expert opinions and reports;</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Question any person being investigated or prosecuted;</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Arrest or detain persons and surrender them to the Court;</w:t>
      </w:r>
    </w:p>
    <w:p>
      <w:pPr>
        <w:spacing w:after="40" w:before="40" w:line="276"/>
        <w:ind w:left="1080" w:hanging="360"/>
        <w:jc w:val="both"/>
      </w:pPr>
      <w:r>
        <w:rPr>
          <w:rFonts w:ascii="Garamond" w:cs="Garamond" w:eastAsia="Garamond" w:hAnsi="Garamond"/>
          <w:b/>
          <w:bCs/>
          <w:color w:val="333333"/>
          <w:sz w:val="22"/>
          <w:szCs w:val="22"/>
        </w:rPr>
        <w:t xml:space="preserve">(e)  </w:t>
      </w:r>
      <w:r>
        <w:rPr>
          <w:rFonts w:ascii="Garamond" w:cs="Garamond" w:eastAsia="Garamond" w:hAnsi="Garamond"/>
          <w:color w:val="333333"/>
          <w:sz w:val="22"/>
          <w:szCs w:val="22"/>
        </w:rPr>
        <w:t xml:space="preserve">Transfer documents and records, including official documents and records.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obligation to cooperate applies to all proceedings before all Divisions of the Court, adapted as appropriate to the nature of the proceedings.</w:t>
      </w:r>
    </w:p>
    <w:p>
      <w:pPr>
        <w:spacing w:after="60" w:before="220"/>
      </w:pPr>
      <w:r>
        <w:rPr>
          <w:rFonts w:ascii="Arial" w:cs="Arial" w:eastAsia="Arial" w:hAnsi="Arial"/>
          <w:b/>
          <w:bCs/>
          <w:color w:val="1B3A6B"/>
          <w:sz w:val="22"/>
          <w:szCs w:val="22"/>
        </w:rPr>
        <w:t xml:space="preserve">Article 46</w:t>
      </w:r>
      <w:r>
        <w:rPr>
          <w:rFonts w:ascii="Arial" w:cs="Arial" w:eastAsia="Arial" w:hAnsi="Arial"/>
          <w:color w:val="666666"/>
          <w:sz w:val="22"/>
          <w:szCs w:val="22"/>
        </w:rPr>
        <w:t xml:space="preserve">  —  Surrender of Persons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Court may transmit a request for the arrest and surrender of a person to any State Party on whose territory that person may be found. States Parties shall comply with requests for arrest and surrender in accordance with the provisions of this Statute and their domestic law.</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 State Party shall not impose conditions on surrender not provided for in this Statute. The Court shall consult with the requested state where questions arise concerning the application of this Article.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Where a state is unable to surrender a person due to a competing obligation under international law, it shall notify the Court promptly and consult on alternative means to meet its obligations under this Statute.</w:t>
      </w:r>
    </w:p>
    <w:p>
      <w:pPr>
        <w:spacing w:after="60" w:before="220"/>
      </w:pPr>
      <w:r>
        <w:rPr>
          <w:rFonts w:ascii="Arial" w:cs="Arial" w:eastAsia="Arial" w:hAnsi="Arial"/>
          <w:b/>
          <w:bCs/>
          <w:color w:val="1B3A6B"/>
          <w:sz w:val="22"/>
          <w:szCs w:val="22"/>
        </w:rPr>
        <w:t xml:space="preserve">Article 47</w:t>
      </w:r>
      <w:r>
        <w:rPr>
          <w:rFonts w:ascii="Arial" w:cs="Arial" w:eastAsia="Arial" w:hAnsi="Arial"/>
          <w:color w:val="666666"/>
          <w:sz w:val="22"/>
          <w:szCs w:val="22"/>
        </w:rPr>
        <w:t xml:space="preserve">  —  Instruments of Cooperation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 State Party may enter into a specific agreement or arrangement with the Court to facilitate cooperation under this Statute. Such agreements may address procedures for the transfer of individuals, the provision of evidence, the protection of witnesses, and any other matter relevant to the cooperation obligations of this Statute.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Where a state that is not a party to this Statute enters into a cooperation agreement with the Court, the Court may exercise jurisdiction over crimes within its subject-matter jurisdiction with respect to conduct in the territory of, or by nationals of, that state to the extent provided in the agreement.</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Cooperation agreements shall not derogate from the obligations of States Parties under this Statute.</w:t>
      </w:r>
    </w:p>
    <w:p>
      <w:pPr>
        <w:spacing w:after="60" w:before="40" w:line="260"/>
        <w:ind w:left="360"/>
        <w:jc w:val="both"/>
      </w:pPr>
      <w:r>
        <w:rPr>
          <w:rFonts w:ascii="Arial" w:cs="Arial" w:eastAsia="Arial" w:hAnsi="Arial"/>
          <w:i/>
          <w:iCs/>
          <w:color w:val="C5922A"/>
          <w:sz w:val="19"/>
          <w:szCs w:val="19"/>
        </w:rPr>
        <w:t xml:space="preserve">Cross-reference: Belogal Instrument of Cooperation (BIC).</w:t>
      </w:r>
    </w:p>
    <w:p>
      <w:pPr>
        <w:spacing w:after="200" w:before="0"/>
      </w:pPr>
    </w:p>
    <w:p>
      <w:pPr>
        <w:spacing w:after="60" w:before="480"/>
        <w:jc w:val="center"/>
      </w:pPr>
      <w:r>
        <w:rPr>
          <w:rFonts w:ascii="Arial" w:cs="Arial" w:eastAsia="Arial" w:hAnsi="Arial"/>
          <w:b/>
          <w:bCs/>
          <w:caps/>
          <w:color w:val="1B3A6B"/>
          <w:sz w:val="28"/>
          <w:szCs w:val="28"/>
        </w:rPr>
        <w:t xml:space="preserve">PART 10 — 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48</w:t>
      </w:r>
      <w:r>
        <w:rPr>
          <w:rFonts w:ascii="Arial" w:cs="Arial" w:eastAsia="Arial" w:hAnsi="Arial"/>
          <w:color w:val="666666"/>
          <w:sz w:val="22"/>
          <w:szCs w:val="22"/>
        </w:rPr>
        <w:t xml:space="preserve">  —  Signature, Ratification, and Accession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This Statute shall be open for signature by all Member States of the United Mirians. It shall be subject to ratification, acceptance, or approval by signatory states.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This Statute shall enter into force on the date on which the last of the five Member States deposits its instrument of ratification, acceptance, or approval.</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States which become Members of the United Mirians after the entry into force of this Statute may accede to it. Instruments of accession shall be deposited with the Registrar of the Court.</w:t>
      </w:r>
    </w:p>
    <w:p>
      <w:pPr>
        <w:spacing w:after="60" w:before="220"/>
      </w:pPr>
      <w:r>
        <w:rPr>
          <w:rFonts w:ascii="Arial" w:cs="Arial" w:eastAsia="Arial" w:hAnsi="Arial"/>
          <w:b/>
          <w:bCs/>
          <w:color w:val="1B3A6B"/>
          <w:sz w:val="22"/>
          <w:szCs w:val="22"/>
        </w:rPr>
        <w:t xml:space="preserve">Article 49</w:t>
      </w:r>
      <w:r>
        <w:rPr>
          <w:rFonts w:ascii="Arial" w:cs="Arial" w:eastAsia="Arial" w:hAnsi="Arial"/>
          <w:color w:val="666666"/>
          <w:sz w:val="22"/>
          <w:szCs w:val="22"/>
        </w:rPr>
        <w:t xml:space="preserve">  —  Amendments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Amendments to this Statute may be proposed by any State Party. Proposed amendments shall be submitted to the Registrar, who shall circulate them to all States Parties.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An amendment shall enter into force for all States Parties when adopted by a vote of four-fifths of the States Parties and ratified by all five Member States.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No amendment may enter into force that would impair the independence of the Court, the rights of the accused under Part 2 of this Statute, or the obligation of States Parties to cooperate with the Court.</w:t>
      </w:r>
    </w:p>
    <w:p>
      <w:pPr>
        <w:spacing w:after="60" w:before="220"/>
      </w:pPr>
      <w:r>
        <w:rPr>
          <w:rFonts w:ascii="Arial" w:cs="Arial" w:eastAsia="Arial" w:hAnsi="Arial"/>
          <w:b/>
          <w:bCs/>
          <w:color w:val="1B3A6B"/>
          <w:sz w:val="22"/>
          <w:szCs w:val="22"/>
        </w:rPr>
        <w:t xml:space="preserve">Article 50</w:t>
      </w:r>
      <w:r>
        <w:rPr>
          <w:rFonts w:ascii="Arial" w:cs="Arial" w:eastAsia="Arial" w:hAnsi="Arial"/>
          <w:color w:val="666666"/>
          <w:sz w:val="22"/>
          <w:szCs w:val="22"/>
        </w:rPr>
        <w:t xml:space="preserve">  —  Relationship to the Charter of the United Mirians</w:t>
      </w:r>
    </w:p>
    <w:p>
      <w:pPr>
        <w:spacing w:after="60" w:before="60" w:line="276"/>
        <w:jc w:val="both"/>
      </w:pPr>
      <w:r>
        <w:rPr>
          <w:rFonts w:ascii="Garamond" w:cs="Garamond" w:eastAsia="Garamond" w:hAnsi="Garamond"/>
          <w:color w:val="333333"/>
          <w:sz w:val="22"/>
          <w:szCs w:val="22"/>
        </w:rPr>
        <w:t xml:space="preserve">Nothing in this Statute shall be interpreted as derogating from the Charter of the United Mirians or from the authority of the United Mirians General Assembly with respect to the maintenance of international peace and security. In the event of any conflict between the obligations of States Parties under this Statute and their obligations under the Charter of the United Mirians, their obligations under the Charter shall prevail.</w:t>
      </w:r>
    </w:p>
    <w:p>
      <w:pPr>
        <w:spacing w:after="60" w:before="220"/>
      </w:pPr>
      <w:r>
        <w:rPr>
          <w:rFonts w:ascii="Arial" w:cs="Arial" w:eastAsia="Arial" w:hAnsi="Arial"/>
          <w:b/>
          <w:bCs/>
          <w:color w:val="1B3A6B"/>
          <w:sz w:val="22"/>
          <w:szCs w:val="22"/>
        </w:rPr>
        <w:t xml:space="preserve">Article 51</w:t>
      </w:r>
      <w:r>
        <w:rPr>
          <w:rFonts w:ascii="Arial" w:cs="Arial" w:eastAsia="Arial" w:hAnsi="Arial"/>
          <w:color w:val="666666"/>
          <w:sz w:val="22"/>
          <w:szCs w:val="22"/>
        </w:rPr>
        <w:t xml:space="preserve">  —  Authentic Text</w:t>
      </w:r>
    </w:p>
    <w:p>
      <w:pPr>
        <w:spacing w:after="60" w:before="60" w:line="276"/>
        <w:jc w:val="both"/>
      </w:pPr>
      <w:r>
        <w:rPr>
          <w:rFonts w:ascii="Garamond" w:cs="Garamond" w:eastAsia="Garamond" w:hAnsi="Garamond"/>
          <w:color w:val="333333"/>
          <w:sz w:val="22"/>
          <w:szCs w:val="22"/>
        </w:rPr>
        <w:t xml:space="preserve">The original of this Statute, of which the Mirian language text is equally authentic, shall be deposited with the Registrar of the Court, who shall transmit certified copies thereof to all States Parties.</w:t>
      </w:r>
    </w:p>
    <w:p>
      <w:pPr>
        <w:spacing w:after="200" w:before="0"/>
      </w:pPr>
    </w:p>
    <w:p>
      <w:pPr>
        <w:spacing w:after="60" w:before="480"/>
        <w:jc w:val="center"/>
      </w:pPr>
      <w:r>
        <w:rPr>
          <w:rFonts w:ascii="Arial" w:cs="Arial" w:eastAsia="Arial" w:hAnsi="Arial"/>
          <w:b/>
          <w:bCs/>
          <w:caps/>
          <w:color w:val="1B3A6B"/>
          <w:sz w:val="28"/>
          <w:szCs w:val="28"/>
        </w:rPr>
        <w:t xml:space="preserve">DONE AND AUTHENTICATED</w:t>
      </w:r>
    </w:p>
    <w:p>
      <w:pPr>
        <w:pBdr>
          <w:bottom w:val="single" w:color="C5922A" w:sz="6" w:space="1"/>
        </w:pBdr>
        <w:spacing w:after="120" w:before="40"/>
      </w:pPr>
    </w:p>
    <w:p>
      <w:pPr>
        <w:spacing w:after="60" w:before="60" w:line="276"/>
        <w:jc w:val="both"/>
      </w:pPr>
      <w:r>
        <w:rPr>
          <w:rFonts w:ascii="Garamond" w:cs="Garamond" w:eastAsia="Garamond" w:hAnsi="Garamond"/>
          <w:color w:val="333333"/>
          <w:sz w:val="22"/>
          <w:szCs w:val="22"/>
        </w:rPr>
        <w:t xml:space="preserve">IN WITNESS WHEREOF the undersigned, duly authorized thereto by their respective governments, have signed this Statute.</w:t>
      </w:r>
    </w:p>
    <w:p>
      <w:pPr>
        <w:spacing w:after="80" w:before="0"/>
      </w:pPr>
    </w:p>
    <w:p>
      <w:pPr>
        <w:spacing w:after="60" w:before="60" w:line="276"/>
        <w:jc w:val="both"/>
      </w:pPr>
      <w:r>
        <w:rPr>
          <w:rFonts w:ascii="Garamond" w:cs="Garamond" w:eastAsia="Garamond" w:hAnsi="Garamond"/>
          <w:color w:val="333333"/>
          <w:sz w:val="22"/>
          <w:szCs w:val="22"/>
        </w:rPr>
        <w:t xml:space="preserve">DONE at the seat of the United Mirians, in a single original in the Mirian language, which shall be deposited in the archives of the Court.</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Ghanidash:</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Hin-Klia:</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Pramatra:</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Statute of the High Court of Mir</w:t>
    </w:r>
    <w:r>
      <w:rPr>
        <w:rFonts w:ascii="Arial" w:cs="Arial" w:eastAsia="Arial" w:hAnsi="Arial"/>
        <w:sz w:val="16"/>
        <w:szCs w:val="16"/>
      </w:rP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STATUTE OF THE HIGH COURT OF MIR</w:t>
    </w:r>
    <w:r>
      <w:rPr>
        <w:rFonts w:ascii="Arial" w:cs="Arial" w:eastAsia="Arial" w:hAnsi="Arial"/>
        <w:sz w:val="16"/>
        <w:szCs w:val="16"/>
      </w:rPr>
      <w:t xml:space="preserve">	</w:t>
    </w:r>
    <w:r>
      <w:rPr>
        <w:rFonts w:ascii="Arial" w:cs="Arial" w:eastAsia="Arial" w:hAnsi="Arial"/>
        <w:color w:val="666666"/>
        <w:sz w:val="16"/>
        <w:szCs w:val="16"/>
      </w:rPr>
      <w:t xml:space="preserve">UM DOC/HCM/STATUTE/001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B3A6B"/>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2026-05-24T04:08:06.747Z</dcterms:created>
  <dcterms:modified xsi:type="dcterms:W3CDTF">2026-05-24T04:08:06.758Z</dcterms:modified>
</cp:coreProperties>
</file>

<file path=docProps/custom.xml><?xml version="1.0" encoding="utf-8"?>
<Properties xmlns="http://schemas.openxmlformats.org/officeDocument/2006/custom-properties" xmlns:vt="http://schemas.openxmlformats.org/officeDocument/2006/docPropsVTypes"/>
</file>