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before="0"/>
      </w:pPr>
    </w:p>
    <w:p>
      <w:pPr>
        <w:jc w:val="center"/>
      </w:pPr>
      <w:r>
        <w:rPr>
          <w:rFonts w:ascii="Arial" w:cs="Arial" w:eastAsia="Arial" w:hAnsi="Arial"/>
          <w:b/>
          <w:bCs/>
          <w:color w:val="1B3A6B"/>
          <w:sz w:val="72"/>
          <w:szCs w:val="72"/>
        </w:rPr>
        <w:t xml:space="preserve">☢</w:t>
      </w:r>
    </w:p>
    <w:p>
      <w:pPr>
        <w:spacing w:after="120" w:before="0"/>
      </w:pPr>
    </w:p>
    <w:p>
      <w:pPr>
        <w:jc w:val="center"/>
      </w:pPr>
      <w:r>
        <w:rPr>
          <w:rFonts w:ascii="Arial" w:cs="Arial" w:eastAsia="Arial" w:hAnsi="Arial"/>
          <w:b/>
          <w:bCs/>
          <w:caps/>
          <w:color w:val="1B3A6B"/>
          <w:sz w:val="36"/>
          <w:szCs w:val="36"/>
        </w:rPr>
        <w:t xml:space="preserve">STANDARDS ON THE TOTAL INTERDICTION</w:t>
      </w:r>
    </w:p>
    <w:p>
      <w:pPr>
        <w:jc w:val="center"/>
      </w:pPr>
      <w:r>
        <w:rPr>
          <w:rFonts w:ascii="Arial" w:cs="Arial" w:eastAsia="Arial" w:hAnsi="Arial"/>
          <w:b/>
          <w:bCs/>
          <w:caps/>
          <w:color w:val="1B3A6B"/>
          <w:sz w:val="36"/>
          <w:szCs w:val="36"/>
        </w:rPr>
        <w:t xml:space="preserve">OF LIVE DETONATIONS</w:t>
      </w:r>
    </w:p>
    <w:p>
      <w:pPr>
        <w:spacing w:after="60" w:before="0"/>
      </w:pPr>
    </w:p>
    <w:p>
      <w:pPr>
        <w:jc w:val="center"/>
      </w:pPr>
      <w:r>
        <w:rPr>
          <w:rFonts w:ascii="Arial" w:cs="Arial" w:eastAsia="Arial" w:hAnsi="Arial"/>
          <w:b/>
          <w:bCs/>
          <w:color w:val="C5922A"/>
          <w:sz w:val="28"/>
          <w:szCs w:val="28"/>
        </w:rPr>
        <w:t xml:space="preserve">( STILL )</w:t>
      </w:r>
    </w:p>
    <w:p>
      <w:pPr>
        <w:spacing w:after="80" w:before="0"/>
      </w:pPr>
    </w:p>
    <w:p>
      <w:pPr>
        <w:pBdr>
          <w:bottom w:val="single" w:color="C5922A" w:sz="6" w:space="1"/>
        </w:pBdr>
        <w:spacing w:after="0" w:before="0"/>
      </w:pPr>
    </w:p>
    <w:p>
      <w:pPr>
        <w:spacing w:after="80" w:before="0"/>
      </w:pPr>
    </w:p>
    <w:p>
      <w:pPr>
        <w:jc w:val="center"/>
      </w:pPr>
      <w:r>
        <w:rPr>
          <w:rFonts w:ascii="Garamond" w:cs="Garamond" w:eastAsia="Garamond" w:hAnsi="Garamond"/>
          <w:i/>
          <w:iCs/>
          <w:color w:val="666666"/>
          <w:sz w:val="22"/>
          <w:szCs w:val="22"/>
        </w:rPr>
        <w:t xml:space="preserve">Adopted at the Conference of Mir on Nuclear Disarmament</w:t>
      </w:r>
    </w:p>
    <w:p>
      <w:pPr>
        <w:jc w:val="center"/>
      </w:pPr>
      <w:r>
        <w:rPr>
          <w:rFonts w:ascii="Garamond" w:cs="Garamond" w:eastAsia="Garamond" w:hAnsi="Garamond"/>
          <w:i/>
          <w:iCs/>
          <w:color w:val="666666"/>
          <w:sz w:val="22"/>
          <w:szCs w:val="22"/>
        </w:rPr>
        <w:t xml:space="preserve">Deposited with the Secretariat of the United Mirians</w:t>
      </w:r>
    </w:p>
    <w:p>
      <w:pPr>
        <w:spacing w:after="80" w:before="0"/>
      </w:pPr>
    </w:p>
    <w:p>
      <w:pPr>
        <w:pBdr>
          <w:bottom w:val="single" w:color="C5922A" w:sz="6" w:space="1"/>
        </w:pBdr>
        <w:spacing w:after="0" w:before="0"/>
      </w:pPr>
    </w:p>
    <w:p>
      <w:pPr>
        <w:spacing w:after="400" w:before="0"/>
      </w:pPr>
    </w:p>
    <w:p>
      <w:pPr>
        <w:spacing w:after="80" w:before="400"/>
        <w:jc w:val="center"/>
      </w:pPr>
      <w:r>
        <w:rPr>
          <w:rFonts w:ascii="Arial" w:cs="Arial" w:eastAsia="Arial" w:hAnsi="Arial"/>
          <w:b/>
          <w:bCs/>
          <w:caps/>
          <w:color w:val="1B3A6B"/>
          <w:sz w:val="26"/>
          <w:szCs w:val="26"/>
        </w:rPr>
        <w:t xml:space="preserve">PREAMBLE</w:t>
      </w:r>
    </w:p>
    <w:p>
      <w:pPr>
        <w:pBdr>
          <w:bottom w:val="single" w:color="1B3A6B" w:sz="6" w:space="1"/>
        </w:pBdr>
        <w:spacing w:after="160" w:before="40"/>
      </w:pPr>
    </w:p>
    <w:p>
      <w:pPr>
        <w:spacing w:after="80" w:before="80" w:line="300"/>
        <w:ind w:left="360"/>
        <w:jc w:val="both"/>
      </w:pPr>
      <w:r>
        <w:rPr>
          <w:rFonts w:ascii="Garamond" w:cs="Garamond" w:eastAsia="Garamond" w:hAnsi="Garamond"/>
          <w:i/>
          <w:iCs/>
          <w:color w:val="333333"/>
          <w:sz w:val="22"/>
          <w:szCs w:val="22"/>
        </w:rPr>
        <w:t xml:space="preserve">THE HIGH CONTRACTING PARTIES,</w:t>
      </w:r>
    </w:p>
    <w:p>
      <w:pPr>
        <w:spacing w:after="40" w:before="0"/>
      </w:pPr>
    </w:p>
    <w:p>
      <w:pPr>
        <w:spacing w:after="80" w:before="80" w:line="300"/>
        <w:ind w:left="360"/>
        <w:jc w:val="both"/>
      </w:pPr>
      <w:r>
        <w:rPr>
          <w:rFonts w:ascii="Garamond" w:cs="Garamond" w:eastAsia="Garamond" w:hAnsi="Garamond"/>
          <w:i/>
          <w:iCs/>
          <w:color w:val="333333"/>
          <w:sz w:val="22"/>
          <w:szCs w:val="22"/>
        </w:rPr>
        <w:t xml:space="preserve">RECOGNIZING that the testing of nuclear weapons causes environmental contamination and poses risks to human health across Mir,</w:t>
      </w:r>
    </w:p>
    <w:p>
      <w:pPr>
        <w:spacing w:after="80" w:before="80" w:line="300"/>
        <w:ind w:left="360"/>
        <w:jc w:val="both"/>
      </w:pPr>
      <w:r>
        <w:rPr>
          <w:rFonts w:ascii="Garamond" w:cs="Garamond" w:eastAsia="Garamond" w:hAnsi="Garamond"/>
          <w:i/>
          <w:iCs/>
          <w:color w:val="333333"/>
          <w:sz w:val="22"/>
          <w:szCs w:val="22"/>
        </w:rPr>
        <w:t xml:space="preserve">CONVINCED that the cessation of all nuclear weapon test explosions and all other nuclear explosions will be an effective measure of nuclear disarmament and non-proliferation,</w:t>
      </w:r>
    </w:p>
    <w:p>
      <w:pPr>
        <w:spacing w:after="80" w:before="80" w:line="300"/>
        <w:ind w:left="360"/>
        <w:jc w:val="both"/>
      </w:pPr>
      <w:r>
        <w:rPr>
          <w:rFonts w:ascii="Garamond" w:cs="Garamond" w:eastAsia="Garamond" w:hAnsi="Garamond"/>
          <w:i/>
          <w:iCs/>
          <w:color w:val="333333"/>
          <w:sz w:val="22"/>
          <w:szCs w:val="22"/>
        </w:rPr>
        <w:t xml:space="preserve">NOTING that a comprehensive nuclear test ban will contribute to the curbing of nuclear weapons development and will facilitate the process of nuclear disarmament,</w:t>
      </w:r>
    </w:p>
    <w:p>
      <w:pPr>
        <w:spacing w:after="80" w:before="80" w:line="300"/>
        <w:ind w:left="360"/>
        <w:jc w:val="both"/>
      </w:pPr>
      <w:r>
        <w:rPr>
          <w:rFonts w:ascii="Garamond" w:cs="Garamond" w:eastAsia="Garamond" w:hAnsi="Garamond"/>
          <w:i/>
          <w:iCs/>
          <w:color w:val="333333"/>
          <w:sz w:val="22"/>
          <w:szCs w:val="22"/>
        </w:rPr>
        <w:t xml:space="preserve">HAVE AGREED as follows:</w:t>
      </w:r>
    </w:p>
    <w:p>
      <w:pPr>
        <w:spacing w:after="200" w:before="0"/>
      </w:pPr>
    </w:p>
    <w:p>
      <w:pPr>
        <w:spacing w:after="60" w:before="220"/>
      </w:pPr>
      <w:r>
        <w:rPr>
          <w:rFonts w:ascii="Arial" w:cs="Arial" w:eastAsia="Arial" w:hAnsi="Arial"/>
          <w:b/>
          <w:bCs/>
          <w:color w:val="1B3A6B"/>
          <w:sz w:val="22"/>
          <w:szCs w:val="22"/>
        </w:rPr>
        <w:t xml:space="preserve">Article 1</w:t>
      </w:r>
      <w:r>
        <w:rPr>
          <w:rFonts w:ascii="Arial" w:cs="Arial" w:eastAsia="Arial" w:hAnsi="Arial"/>
          <w:color w:val="666666"/>
          <w:sz w:val="22"/>
          <w:szCs w:val="22"/>
        </w:rPr>
        <w:t xml:space="preserve">  —  Basic Obligations</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Each State Party undertakes not to carry out any nuclear weapon test explosion or any other nuclear explosion, and to prohibit and prevent any such nuclear explosion at any place under its jurisdiction or control.</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Each State Party undertakes to refrain from causing, encouraging, or in any way participating in the carrying out of any nuclear weapon test explosion or any other nuclear explosion.</w:t>
      </w:r>
    </w:p>
    <w:p>
      <w:pPr>
        <w:spacing w:after="60" w:before="220"/>
      </w:pPr>
      <w:r>
        <w:rPr>
          <w:rFonts w:ascii="Arial" w:cs="Arial" w:eastAsia="Arial" w:hAnsi="Arial"/>
          <w:b/>
          <w:bCs/>
          <w:color w:val="1B3A6B"/>
          <w:sz w:val="22"/>
          <w:szCs w:val="22"/>
        </w:rPr>
        <w:t xml:space="preserve">Article 2</w:t>
      </w:r>
      <w:r>
        <w:rPr>
          <w:rFonts w:ascii="Arial" w:cs="Arial" w:eastAsia="Arial" w:hAnsi="Arial"/>
          <w:color w:val="666666"/>
          <w:sz w:val="22"/>
          <w:szCs w:val="22"/>
        </w:rPr>
        <w:t xml:space="preserve">  —  Verification</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For the purpose of verifying compliance with this instrument, a verification regime consisting of an international monitoring system, consultation and clarification procedures, on-site inspections, and confidence-building measures shall be established.</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Each State Party undertakes to cooperate with the verification regime and to provide access to its territory for the purposes of verification.</w:t>
      </w:r>
    </w:p>
    <w:p>
      <w:pPr>
        <w:spacing w:after="60" w:before="220"/>
      </w:pPr>
      <w:r>
        <w:rPr>
          <w:rFonts w:ascii="Arial" w:cs="Arial" w:eastAsia="Arial" w:hAnsi="Arial"/>
          <w:b/>
          <w:bCs/>
          <w:color w:val="1B3A6B"/>
          <w:sz w:val="22"/>
          <w:szCs w:val="22"/>
        </w:rPr>
        <w:t xml:space="preserve">Article 3</w:t>
      </w:r>
      <w:r>
        <w:rPr>
          <w:rFonts w:ascii="Arial" w:cs="Arial" w:eastAsia="Arial" w:hAnsi="Arial"/>
          <w:color w:val="666666"/>
          <w:sz w:val="22"/>
          <w:szCs w:val="22"/>
        </w:rPr>
        <w:t xml:space="preserve">  —  Relationship to Nuclear Weapons Use</w:t>
      </w:r>
    </w:p>
    <w:p>
      <w:pPr>
        <w:spacing w:after="60" w:before="60" w:line="276"/>
        <w:ind w:left="720" w:hanging="360"/>
        <w:jc w:val="both"/>
      </w:pPr>
      <w:r>
        <w:rPr>
          <w:rFonts w:ascii="Garamond" w:cs="Garamond" w:eastAsia="Garamond" w:hAnsi="Garamond"/>
          <w:b/>
          <w:bCs/>
          <w:color w:val="333333"/>
          <w:sz w:val="22"/>
          <w:szCs w:val="22"/>
        </w:rPr>
        <w:t xml:space="preserve">1.  </w:t>
      </w:r>
      <w:r>
        <w:rPr>
          <w:rFonts w:ascii="Garamond" w:cs="Garamond" w:eastAsia="Garamond" w:hAnsi="Garamond"/>
          <w:color w:val="333333"/>
          <w:sz w:val="22"/>
          <w:szCs w:val="22"/>
        </w:rPr>
        <w:t xml:space="preserve">The prohibition on nuclear testing in this instrument is distinct from and additional to the prohibition on nuclear weapons use in the MCWC.</w:t>
      </w:r>
    </w:p>
    <w:p>
      <w:pPr>
        <w:spacing w:after="60" w:before="60" w:line="276"/>
        <w:ind w:left="720" w:hanging="360"/>
        <w:jc w:val="both"/>
      </w:pPr>
      <w:r>
        <w:rPr>
          <w:rFonts w:ascii="Garamond" w:cs="Garamond" w:eastAsia="Garamond" w:hAnsi="Garamond"/>
          <w:b/>
          <w:bCs/>
          <w:color w:val="333333"/>
          <w:sz w:val="22"/>
          <w:szCs w:val="22"/>
        </w:rPr>
        <w:t xml:space="preserve">2.  </w:t>
      </w:r>
      <w:r>
        <w:rPr>
          <w:rFonts w:ascii="Garamond" w:cs="Garamond" w:eastAsia="Garamond" w:hAnsi="Garamond"/>
          <w:color w:val="333333"/>
          <w:sz w:val="22"/>
          <w:szCs w:val="22"/>
        </w:rPr>
        <w:t xml:space="preserve">Compliance with the STILL does not constitute compliance with the MCWC. A state that refrains from testing but uses nuclear weapons violates the MCWC independently of this instrument.</w:t>
      </w:r>
    </w:p>
    <w:p>
      <w:pPr>
        <w:spacing w:after="60" w:before="60" w:line="276"/>
        <w:ind w:left="720" w:hanging="360"/>
        <w:jc w:val="both"/>
      </w:pPr>
      <w:r>
        <w:rPr>
          <w:rFonts w:ascii="Garamond" w:cs="Garamond" w:eastAsia="Garamond" w:hAnsi="Garamond"/>
          <w:b/>
          <w:bCs/>
          <w:color w:val="333333"/>
          <w:sz w:val="22"/>
          <w:szCs w:val="22"/>
        </w:rPr>
        <w:t xml:space="preserve">3.  </w:t>
      </w:r>
      <w:r>
        <w:rPr>
          <w:rFonts w:ascii="Garamond" w:cs="Garamond" w:eastAsia="Garamond" w:hAnsi="Garamond"/>
          <w:color w:val="333333"/>
          <w:sz w:val="22"/>
          <w:szCs w:val="22"/>
        </w:rPr>
        <w:t xml:space="preserve">The prohibition on nuclear testing reflects the recognition of all State Parties that nuclear weapons are subject to special legal regulation and that their development and improvement must be constrained as a step toward their elimination.</w:t>
      </w:r>
    </w:p>
    <w:p>
      <w:pPr>
        <w:spacing w:after="60" w:before="40" w:line="260"/>
        <w:ind w:left="360"/>
        <w:jc w:val="both"/>
      </w:pPr>
      <w:r>
        <w:rPr>
          <w:rFonts w:ascii="Arial" w:cs="Arial" w:eastAsia="Arial" w:hAnsi="Arial"/>
          <w:i/>
          <w:iCs/>
          <w:color w:val="C5922A"/>
          <w:sz w:val="19"/>
          <w:szCs w:val="19"/>
        </w:rPr>
        <w:t xml:space="preserve">Cross-reference: MCWC; GLOW Opinion.</w:t>
      </w:r>
    </w:p>
    <w:p>
      <w:pPr>
        <w:spacing w:after="80" w:before="400"/>
        <w:jc w:val="center"/>
      </w:pPr>
      <w:r>
        <w:rPr>
          <w:rFonts w:ascii="Arial" w:cs="Arial" w:eastAsia="Arial" w:hAnsi="Arial"/>
          <w:b/>
          <w:bCs/>
          <w:caps/>
          <w:color w:val="1B3A6B"/>
          <w:sz w:val="26"/>
          <w:szCs w:val="26"/>
        </w:rPr>
        <w:t xml:space="preserve">FINAL PROVISIONS</w:t>
      </w:r>
    </w:p>
    <w:p>
      <w:pPr>
        <w:pBdr>
          <w:bottom w:val="single" w:color="1B3A6B" w:sz="6" w:space="1"/>
        </w:pBdr>
        <w:spacing w:after="160" w:before="40"/>
      </w:pPr>
    </w:p>
    <w:p>
      <w:pPr>
        <w:spacing w:after="60" w:before="220"/>
      </w:pPr>
      <w:r>
        <w:rPr>
          <w:rFonts w:ascii="Arial" w:cs="Arial" w:eastAsia="Arial" w:hAnsi="Arial"/>
          <w:b/>
          <w:bCs/>
          <w:color w:val="1B3A6B"/>
          <w:sz w:val="22"/>
          <w:szCs w:val="22"/>
        </w:rPr>
        <w:t xml:space="preserve">Article 4</w:t>
      </w:r>
      <w:r>
        <w:rPr>
          <w:rFonts w:ascii="Arial" w:cs="Arial" w:eastAsia="Arial" w:hAnsi="Arial"/>
          <w:color w:val="666666"/>
          <w:sz w:val="22"/>
          <w:szCs w:val="22"/>
        </w:rPr>
        <w:t xml:space="preserve">  —  Entry into Force</w:t>
      </w:r>
    </w:p>
    <w:p>
      <w:pPr>
        <w:spacing w:after="60" w:before="60" w:line="276"/>
        <w:jc w:val="both"/>
      </w:pPr>
      <w:r>
        <w:rPr>
          <w:rFonts w:ascii="Garamond" w:cs="Garamond" w:eastAsia="Garamond" w:hAnsi="Garamond"/>
          <w:color w:val="333333"/>
          <w:sz w:val="22"/>
          <w:szCs w:val="22"/>
        </w:rPr>
        <w:t xml:space="preserve">The present Standards shall enter into force upon ratification by all five Member States of the United Mirians.</w:t>
      </w:r>
    </w:p>
    <w:p>
      <w:pPr>
        <w:spacing w:after="160" w:before="0"/>
      </w:pPr>
    </w:p>
    <w:p>
      <w:pPr>
        <w:spacing w:after="40" w:before="80"/>
      </w:pPr>
      <w:r>
        <w:rPr>
          <w:rFonts w:ascii="Arial" w:cs="Arial" w:eastAsia="Arial" w:hAnsi="Arial"/>
          <w:b/>
          <w:bCs/>
          <w:color w:val="1B3A6B"/>
          <w:sz w:val="22"/>
          <w:szCs w:val="22"/>
        </w:rPr>
        <w:t xml:space="preserve">For Belogal:</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Ghanidash:</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Hin-Klia:</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Mikhailistan:</w:t>
      </w:r>
    </w:p>
    <w:p>
      <w:pPr>
        <w:pBdr>
          <w:bottom w:val="single" w:color="666666" w:sz="2" w:space="2"/>
        </w:pBdr>
        <w:spacing w:after="120" w:before="40"/>
      </w:pPr>
      <w:r>
        <w:rPr>
          <w:rFonts w:ascii="Garamond" w:cs="Garamond" w:eastAsia="Garamond" w:hAnsi="Garamond"/>
          <w:sz w:val="22"/>
          <w:szCs w:val="22"/>
        </w:rPr>
        <w:t xml:space="preserve"> </w:t>
      </w:r>
    </w:p>
    <w:p>
      <w:pPr>
        <w:spacing w:after="40" w:before="80"/>
      </w:pPr>
      <w:r>
        <w:rPr>
          <w:rFonts w:ascii="Arial" w:cs="Arial" w:eastAsia="Arial" w:hAnsi="Arial"/>
          <w:b/>
          <w:bCs/>
          <w:color w:val="1B3A6B"/>
          <w:sz w:val="22"/>
          <w:szCs w:val="22"/>
        </w:rPr>
        <w:t xml:space="preserve">For Pramatra:</w:t>
      </w:r>
    </w:p>
    <w:p>
      <w:pPr>
        <w:pBdr>
          <w:bottom w:val="single" w:color="666666" w:sz="2" w:space="2"/>
        </w:pBdr>
        <w:spacing w:after="120" w:before="40"/>
      </w:pPr>
      <w:r>
        <w:rPr>
          <w:rFonts w:ascii="Garamond" w:cs="Garamond" w:eastAsia="Garamond" w:hAnsi="Garamond"/>
          <w:sz w:val="22"/>
          <w:szCs w:val="22"/>
        </w:rPr>
        <w:t xml:space="preserve"> </w:t>
      </w:r>
    </w:p>
    <w:sectPr>
      <w:headerReference w:type="default" r:id="rId7"/>
      <w:footerReference w:type="default" r:id="rId8"/>
      <w:pgSz w:w="12240" w:h="15840" w:orient="portrait"/>
      <w:pgMar w:top="1440" w:right="1260" w:bottom="144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922A" w:sz="4" w:space="4"/>
      </w:pBdr>
      <w:tabs>
        <w:tab w:val="right" w:pos="9360"/>
      </w:tabs>
      <w:spacing w:before="80"/>
    </w:pPr>
    <w:r>
      <w:rPr>
        <w:rFonts w:ascii="Arial" w:cs="Arial" w:eastAsia="Arial" w:hAnsi="Arial"/>
        <w:color w:val="666666"/>
        <w:sz w:val="16"/>
        <w:szCs w:val="16"/>
      </w:rPr>
      <w:t xml:space="preserve">United Mirians  |  STILL  |  Nuclear Testing Prohibition</w:t>
    </w:r>
    <w:r>
      <w:t xml:space="preserve">	</w:t>
    </w:r>
    <w:fldSimple w:instr="[object Objec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922A" w:sz="4" w:space="4"/>
      </w:pBdr>
      <w:tabs>
        <w:tab w:val="right" w:pos="9360"/>
      </w:tabs>
      <w:spacing w:after="80"/>
    </w:pPr>
    <w:r>
      <w:rPr>
        <w:rFonts w:ascii="Arial" w:cs="Arial" w:eastAsia="Arial" w:hAnsi="Arial"/>
        <w:b/>
        <w:bCs/>
        <w:color w:val="1B3A6B"/>
        <w:sz w:val="16"/>
        <w:szCs w:val="16"/>
      </w:rPr>
      <w:t xml:space="preserve">STANDARDS ON THE TOTAL INTERDICTION OF LIVE DETONATIONS (STILL)</w:t>
    </w:r>
    <w:r>
      <w:t xml:space="preserve">	</w:t>
    </w:r>
    <w:r>
      <w:rPr>
        <w:rFonts w:ascii="Arial" w:cs="Arial" w:eastAsia="Arial" w:hAnsi="Arial"/>
        <w:color w:val="666666"/>
        <w:sz w:val="16"/>
        <w:szCs w:val="16"/>
      </w:rPr>
      <w:t xml:space="preserve">UM DOC/STILL/001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color w:val="3333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2026-05-24T06:21:40.823Z</dcterms:created>
  <dcterms:modified xsi:type="dcterms:W3CDTF">2026-05-24T06:21:40.823Z</dcterms:modified>
</cp:coreProperties>
</file>

<file path=docProps/custom.xml><?xml version="1.0" encoding="utf-8"?>
<Properties xmlns="http://schemas.openxmlformats.org/officeDocument/2006/custom-properties" xmlns:vt="http://schemas.openxmlformats.org/officeDocument/2006/docPropsVTypes"/>
</file>