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jc w:val="center"/>
      </w:pPr>
      <w:r>
        <w:rPr>
          <w:rFonts w:ascii="Arial" w:cs="Arial" w:eastAsia="Arial" w:hAnsi="Arial"/>
          <w:b/>
          <w:bCs/>
          <w:color w:val="1B3A6B"/>
          <w:sz w:val="72"/>
          <w:szCs w:val="72"/>
        </w:rPr>
        <w:t xml:space="preserve">🛡</w:t>
      </w:r>
    </w:p>
    <w:p>
      <w:pPr>
        <w:spacing w:after="120" w:before="0"/>
      </w:pPr>
    </w:p>
    <w:p>
      <w:pPr>
        <w:jc w:val="center"/>
      </w:pPr>
      <w:r>
        <w:rPr>
          <w:rFonts w:ascii="Arial" w:cs="Arial" w:eastAsia="Arial" w:hAnsi="Arial"/>
          <w:b/>
          <w:bCs/>
          <w:caps/>
          <w:color w:val="1B3A6B"/>
          <w:sz w:val="36"/>
          <w:szCs w:val="36"/>
        </w:rPr>
        <w:t xml:space="preserve">STANDARDS ON THE HIERARCHICAL IMMUNITY OF</w:t>
      </w:r>
    </w:p>
    <w:p>
      <w:pPr>
        <w:jc w:val="center"/>
      </w:pPr>
      <w:r>
        <w:rPr>
          <w:rFonts w:ascii="Arial" w:cs="Arial" w:eastAsia="Arial" w:hAnsi="Arial"/>
          <w:b/>
          <w:bCs/>
          <w:caps/>
          <w:color w:val="1B3A6B"/>
          <w:sz w:val="36"/>
          <w:szCs w:val="36"/>
        </w:rPr>
        <w:t xml:space="preserve">ENVOYS AND LEADERS IN DIPLOMACY</w:t>
      </w:r>
    </w:p>
    <w:p>
      <w:pPr>
        <w:spacing w:after="60" w:before="0"/>
      </w:pPr>
    </w:p>
    <w:p>
      <w:pPr>
        <w:jc w:val="center"/>
      </w:pPr>
      <w:r>
        <w:rPr>
          <w:rFonts w:ascii="Arial" w:cs="Arial" w:eastAsia="Arial" w:hAnsi="Arial"/>
          <w:b/>
          <w:bCs/>
          <w:color w:val="C5922A"/>
          <w:sz w:val="28"/>
          <w:szCs w:val="28"/>
        </w:rPr>
        <w:t xml:space="preserve">( SHIELD )</w:t>
      </w:r>
    </w:p>
    <w:p>
      <w:pPr>
        <w:spacing w:after="8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Adopted under the auspices of the United Mirians</w:t>
      </w:r>
    </w:p>
    <w:p>
      <w:pPr>
        <w:jc w:val="center"/>
      </w:pPr>
      <w:r>
        <w:rPr>
          <w:rFonts w:ascii="Garamond" w:cs="Garamond" w:eastAsia="Garamond" w:hAnsi="Garamond"/>
          <w:i/>
          <w:iCs/>
          <w:color w:val="666666"/>
          <w:sz w:val="22"/>
          <w:szCs w:val="22"/>
        </w:rPr>
        <w:t xml:space="preserve">Deposited with the Secretariat of the United Mirians</w:t>
      </w:r>
    </w:p>
    <w:p>
      <w:pPr>
        <w:spacing w:after="80" w:before="0"/>
      </w:pPr>
    </w:p>
    <w:p>
      <w:pPr>
        <w:pBdr>
          <w:bottom w:val="single" w:color="C5922A" w:sz="6" w:space="1"/>
        </w:pBdr>
        <w:spacing w:after="0" w:before="0"/>
      </w:pPr>
    </w:p>
    <w:p>
      <w:pPr>
        <w:spacing w:after="400" w:before="0"/>
      </w:pPr>
    </w:p>
    <w:p>
      <w:pPr>
        <w:spacing w:after="80" w:before="400"/>
        <w:jc w:val="center"/>
      </w:pPr>
      <w:r>
        <w:rPr>
          <w:rFonts w:ascii="Arial" w:cs="Arial" w:eastAsia="Arial" w:hAnsi="Arial"/>
          <w:b/>
          <w:bCs/>
          <w:caps/>
          <w:color w:val="1B3A6B"/>
          <w:sz w:val="26"/>
          <w:szCs w:val="26"/>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THE HIGH CONTRACTING PARTIES,</w:t>
      </w:r>
    </w:p>
    <w:p>
      <w:pPr>
        <w:spacing w:after="40" w:before="0"/>
      </w:pPr>
    </w:p>
    <w:p>
      <w:pPr>
        <w:spacing w:after="80" w:before="80" w:line="300"/>
        <w:ind w:left="360"/>
        <w:jc w:val="both"/>
      </w:pPr>
      <w:r>
        <w:rPr>
          <w:rFonts w:ascii="Garamond" w:cs="Garamond" w:eastAsia="Garamond" w:hAnsi="Garamond"/>
          <w:i/>
          <w:iCs/>
          <w:color w:val="333333"/>
          <w:sz w:val="22"/>
          <w:szCs w:val="22"/>
        </w:rPr>
        <w:t xml:space="preserve">RECOGNIZING that diplomatic relations and the conduct of international affairs require that diplomatic agents and other official representatives enjoy certain immunities from the jurisdiction of receiving states,</w:t>
      </w:r>
    </w:p>
    <w:p>
      <w:pPr>
        <w:spacing w:after="80" w:before="80" w:line="300"/>
        <w:ind w:left="360"/>
        <w:jc w:val="both"/>
      </w:pPr>
      <w:r>
        <w:rPr>
          <w:rFonts w:ascii="Garamond" w:cs="Garamond" w:eastAsia="Garamond" w:hAnsi="Garamond"/>
          <w:i/>
          <w:iCs/>
          <w:color w:val="333333"/>
          <w:sz w:val="22"/>
          <w:szCs w:val="22"/>
        </w:rPr>
        <w:t xml:space="preserve">AFFIRMING that immunity from jurisdiction is not impunity, and that diplomatic immunity does not exempt individuals from accountability under international law,</w:t>
      </w:r>
    </w:p>
    <w:p>
      <w:pPr>
        <w:spacing w:after="80" w:before="80" w:line="300"/>
        <w:ind w:left="360"/>
        <w:jc w:val="both"/>
      </w:pPr>
      <w:r>
        <w:rPr>
          <w:rFonts w:ascii="Garamond" w:cs="Garamond" w:eastAsia="Garamond" w:hAnsi="Garamond"/>
          <w:i/>
          <w:iCs/>
          <w:color w:val="333333"/>
          <w:sz w:val="22"/>
          <w:szCs w:val="22"/>
        </w:rPr>
        <w:t xml:space="preserve">CONFIRMING that heads of state and heads of government enjoy immunities under international law that are functional in character and do not survive the termination of office with respect to international criminal proceedings,</w:t>
      </w:r>
    </w:p>
    <w:p>
      <w:pPr>
        <w:spacing w:after="80" w:before="80" w:line="300"/>
        <w:ind w:left="360"/>
        <w:jc w:val="both"/>
      </w:pPr>
      <w:r>
        <w:rPr>
          <w:rFonts w:ascii="Garamond" w:cs="Garamond" w:eastAsia="Garamond" w:hAnsi="Garamond"/>
          <w:i/>
          <w:iCs/>
          <w:color w:val="333333"/>
          <w:sz w:val="22"/>
          <w:szCs w:val="22"/>
        </w:rPr>
        <w:t xml:space="preserve">HAVE AGREED as follows:</w:t>
      </w:r>
    </w:p>
    <w:p>
      <w:pPr>
        <w:spacing w:after="200" w:before="0"/>
      </w:pPr>
    </w:p>
    <w:p>
      <w:pPr>
        <w:spacing w:after="80" w:before="400"/>
        <w:jc w:val="center"/>
      </w:pPr>
      <w:r>
        <w:rPr>
          <w:rFonts w:ascii="Arial" w:cs="Arial" w:eastAsia="Arial" w:hAnsi="Arial"/>
          <w:b/>
          <w:bCs/>
          <w:caps/>
          <w:color w:val="1B3A6B"/>
          <w:sz w:val="26"/>
          <w:szCs w:val="26"/>
        </w:rPr>
        <w:t xml:space="preserve">PART I — DIPLOMATIC IMMUNITY</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Inviolability of Diplomatic Agents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person of a diplomatic agent shall be inviolable. A diplomatic agent shall not be liable to any form of arrest or detention. The receiving state shall treat the diplomatic agent with due respect and shall take all appropriate steps to prevent any attack on their person, freedom, or dignity.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 diplomatic agent shall enjoy immunity from the criminal jurisdiction of the receiving state. A diplomatic agent shall also enjoy immunity from its civil and administrative jurisdiction, except in specified circumstances not relevant to public international law proceedings.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Immunity from jurisdiction does not exempt the diplomatic agent from the jurisdiction of the sending state.</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Inviolability of Diplomatic Premises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premises of the mission shall be inviolable. The agents of the receiving state may not enter them except with the consent of the head of the mission.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receiving state is under a special duty to take all appropriate steps to protect the premises of the mission against any intrusion or damage.</w:t>
      </w: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Waiver of Immunity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immunity from jurisdiction of diplomatic agents may be waived by the sending state. Waiver must always be express.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Waiver of immunity from jurisdiction in respect of civil or administrative proceedings shall not be held to imply waiver of immunity in respect of the execution of the judgment, for which a separate waiver shall be necessary.</w:t>
      </w:r>
    </w:p>
    <w:p>
      <w:pPr>
        <w:spacing w:after="80" w:before="400"/>
        <w:jc w:val="center"/>
      </w:pPr>
      <w:r>
        <w:rPr>
          <w:rFonts w:ascii="Arial" w:cs="Arial" w:eastAsia="Arial" w:hAnsi="Arial"/>
          <w:b/>
          <w:bCs/>
          <w:caps/>
          <w:color w:val="1B3A6B"/>
          <w:sz w:val="26"/>
          <w:szCs w:val="26"/>
        </w:rPr>
        <w:t xml:space="preserve">PART II — HEAD OF STATE IMMUNITY</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4</w:t>
      </w:r>
      <w:r>
        <w:rPr>
          <w:rFonts w:ascii="Arial" w:cs="Arial" w:eastAsia="Arial" w:hAnsi="Arial"/>
          <w:color w:val="666666"/>
          <w:sz w:val="22"/>
          <w:szCs w:val="22"/>
        </w:rPr>
        <w:t xml:space="preserve">  —  Immunity of Incumbent Heads of State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An incumbent head of state enjoys personal immunity from the criminal jurisdiction of foreign states for all acts, whether performed in an official or private capacity, for the duration of their term of office.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This immunity reflects the need to protect the functioning of the state and the conduct of international relations and is not a personal privilege of the individual concerned.</w:t>
      </w:r>
    </w:p>
    <w:p>
      <w:pPr>
        <w:spacing w:after="60" w:before="220"/>
      </w:pPr>
      <w:r>
        <w:rPr>
          <w:rFonts w:ascii="Arial" w:cs="Arial" w:eastAsia="Arial" w:hAnsi="Arial"/>
          <w:b/>
          <w:bCs/>
          <w:color w:val="1B3A6B"/>
          <w:sz w:val="22"/>
          <w:szCs w:val="22"/>
        </w:rPr>
        <w:t xml:space="preserve">Article 5</w:t>
      </w:r>
      <w:r>
        <w:rPr>
          <w:rFonts w:ascii="Arial" w:cs="Arial" w:eastAsia="Arial" w:hAnsi="Arial"/>
          <w:color w:val="666666"/>
          <w:sz w:val="22"/>
          <w:szCs w:val="22"/>
        </w:rPr>
        <w:t xml:space="preserve">  —  Former Heads of State — Limits of Immunity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former head of state does not retain immunity from foreign criminal jurisdiction in respect of acts committed during their term of office that constitute international crimes.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For the purposes of paragraph 1, international crimes include genocide, crimes against humanity, war crimes, and the crime of aggression as defined in the Statute of the High Court of Mir.</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rationale for immunity — protecting the functioning of the state — does not apply once the individual has left office. The individual reverts to the status of a private person subject to international criminal accountability.</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No claim of head of state immunity, whether incumbent or former, may be raised as a bar to proceedings before the International Criminal Chamber of the High Court of Mir. The Statute of the Court explicitly provides that official capacity does not exempt any person from criminal responsibility.</w:t>
      </w:r>
    </w:p>
    <w:p>
      <w:pPr>
        <w:spacing w:after="80" w:before="400"/>
        <w:jc w:val="center"/>
      </w:pPr>
      <w:r>
        <w:rPr>
          <w:rFonts w:ascii="Arial" w:cs="Arial" w:eastAsia="Arial" w:hAnsi="Arial"/>
          <w:b/>
          <w:bCs/>
          <w:caps/>
          <w:color w:val="1B3A6B"/>
          <w:sz w:val="26"/>
          <w:szCs w:val="26"/>
        </w:rPr>
        <w:t xml:space="preserve">PART III — FINAL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6</w:t>
      </w:r>
      <w:r>
        <w:rPr>
          <w:rFonts w:ascii="Arial" w:cs="Arial" w:eastAsia="Arial" w:hAnsi="Arial"/>
          <w:color w:val="666666"/>
          <w:sz w:val="22"/>
          <w:szCs w:val="22"/>
        </w:rPr>
        <w:t xml:space="preserve">  —  Relationship to International Criminal Law</w:t>
      </w:r>
    </w:p>
    <w:p>
      <w:pPr>
        <w:spacing w:after="60" w:before="60" w:line="276"/>
        <w:jc w:val="both"/>
      </w:pPr>
      <w:r>
        <w:rPr>
          <w:rFonts w:ascii="Garamond" w:cs="Garamond" w:eastAsia="Garamond" w:hAnsi="Garamond"/>
          <w:color w:val="333333"/>
          <w:sz w:val="22"/>
          <w:szCs w:val="22"/>
        </w:rPr>
        <w:t xml:space="preserve">Nothing in the present Standards shall be construed to limit the jurisdiction of the High Court of Mir or any other international criminal tribunal over any person regardless of their current or former official capacity. The immunities established in this instrument operate between states and do not affect the jurisdiction of international courts and tribunals established by or under the authority of the United Mirians.</w:t>
      </w:r>
    </w:p>
    <w:p>
      <w:pPr>
        <w:spacing w:after="60" w:before="220"/>
      </w:pPr>
      <w:r>
        <w:rPr>
          <w:rFonts w:ascii="Arial" w:cs="Arial" w:eastAsia="Arial" w:hAnsi="Arial"/>
          <w:b/>
          <w:bCs/>
          <w:color w:val="1B3A6B"/>
          <w:sz w:val="22"/>
          <w:szCs w:val="22"/>
        </w:rPr>
        <w:t xml:space="preserve">Article 7</w:t>
      </w:r>
      <w:r>
        <w:rPr>
          <w:rFonts w:ascii="Arial" w:cs="Arial" w:eastAsia="Arial" w:hAnsi="Arial"/>
          <w:color w:val="666666"/>
          <w:sz w:val="22"/>
          <w:szCs w:val="22"/>
        </w:rPr>
        <w:t xml:space="preserve">  —  Signature and Entry into Force</w:t>
      </w:r>
    </w:p>
    <w:p>
      <w:pPr>
        <w:spacing w:after="60" w:before="60" w:line="276"/>
        <w:jc w:val="both"/>
      </w:pPr>
      <w:r>
        <w:rPr>
          <w:rFonts w:ascii="Garamond" w:cs="Garamond" w:eastAsia="Garamond" w:hAnsi="Garamond"/>
          <w:color w:val="333333"/>
          <w:sz w:val="22"/>
          <w:szCs w:val="22"/>
        </w:rPr>
        <w:t xml:space="preserve">The present Standards shall enter into force upon ratification by all five Member States of the United Mirians.</w:t>
      </w:r>
    </w:p>
    <w:p>
      <w:pPr>
        <w:spacing w:after="160" w:before="0"/>
      </w:pPr>
    </w:p>
    <w:p>
      <w:pPr>
        <w:spacing w:after="40" w:before="80"/>
      </w:pPr>
      <w:r>
        <w:rPr>
          <w:rFonts w:ascii="Arial" w:cs="Arial" w:eastAsia="Arial" w:hAnsi="Arial"/>
          <w:b/>
          <w:bCs/>
          <w:color w:val="1B3A6B"/>
          <w:sz w:val="22"/>
          <w:szCs w:val="22"/>
        </w:rPr>
        <w:t xml:space="preserve">For Belogal:</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Ghanidash:</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Hin-Klia:</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Mikhailistan:</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Pramatra:</w:t>
      </w:r>
    </w:p>
    <w:p>
      <w:pPr>
        <w:pBdr>
          <w:bottom w:val="single" w:color="666666" w:sz="2" w:space="2"/>
        </w:pBdr>
        <w:spacing w:after="120" w:before="40"/>
      </w:pPr>
      <w:r>
        <w:rPr>
          <w:rFonts w:ascii="Garamond" w:cs="Garamond" w:eastAsia="Garamond" w:hAnsi="Garamond"/>
          <w:sz w:val="22"/>
          <w:szCs w:val="22"/>
        </w:rPr>
        <w:t xml:space="preserve"> </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SHIELD  |  Diplomatic and Official Immunity</w:t>
    </w:r>
    <w: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STANDARDS ON THE HIERARCHICAL IMMUNITY OF ENVOYS AND LEADERS IN DIPLOMACY (SHIELD)</w:t>
    </w:r>
    <w:r>
      <w:t xml:space="preserve">	</w:t>
    </w:r>
    <w:r>
      <w:rPr>
        <w:rFonts w:ascii="Arial" w:cs="Arial" w:eastAsia="Arial" w:hAnsi="Arial"/>
        <w:color w:val="666666"/>
        <w:sz w:val="16"/>
        <w:szCs w:val="16"/>
      </w:rPr>
      <w:t xml:space="preserve">UM DOC/SHIELD/001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2026-05-24T06:21:40.685Z</dcterms:created>
  <dcterms:modified xsi:type="dcterms:W3CDTF">2026-05-24T06:21:40.706Z</dcterms:modified>
</cp:coreProperties>
</file>

<file path=docProps/custom.xml><?xml version="1.0" encoding="utf-8"?>
<Properties xmlns="http://schemas.openxmlformats.org/officeDocument/2006/custom-properties" xmlns:vt="http://schemas.openxmlformats.org/officeDocument/2006/docPropsVTypes"/>
</file>